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2.2.4. Trình độ ngoại ngữ và tin học  </w:t>
      </w:r>
    </w:p>
    <w:p>
      <w:pPr>
        <w:pStyle w:val="Normal"/>
      </w:pPr>
      <w:r>
        <w:t xml:space="preserve">PO12: Đạt trình độ tiếng Anh 450 điểm TOEIC quốc tế; có thể sử dụng ngoại ngữ để diễn đạt, xử lý một số tình huống chuyên môn thông thường; có thể viết được báo cáo có nội dung đơn giản, giao tiếp và trình bày ý kiến liên qu an đến công việc chuyên môn với các chuyên gia, đồng nghiệp nước ngoài . </w:t>
      </w:r>
    </w:p>
    <w:p>
      <w:pPr>
        <w:pStyle w:val="Normal"/>
      </w:pPr>
      <w:r>
        <w:t xml:space="preserve">PO13: Đạt trình độ tương đương chứng chỉ CCNA (Routing and Switching)  hoặc  AWS (Cloud Practitioner ) mức cơ bản tùy  vào từng chuyên ngành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