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2 Khối kiến thức giáo dục chuyên nghiệp  68 (tín chỉ)</w:t>
      </w:r>
    </w:p>
    <w:p>
      <w:pPr>
        <w:pStyle w:val="Normal"/>
      </w:pPr>
      <w:r>
        <w:t>-2.1 Khối kiến thức cơ sở (nhóm ngành và ngành)  44 (tín chỉ)</w:t>
      </w:r>
    </w:p>
    <w:p>
      <w:pPr>
        <w:pStyle w:val="Normal"/>
      </w:pPr>
      <w:r>
        <w:t>-2.2 Khối kiến thức chuyên ngành  24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