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1 Khối kiến thức giáo dục đại cương  52 (tín chỉ)</w:t>
      </w:r>
    </w:p>
    <w:p>
      <w:pPr>
        <w:pStyle w:val="Normal"/>
      </w:pPr>
      <w:r>
        <w:t>-1.1 Khối kiến thức chung  31 (tín chỉ)</w:t>
      </w:r>
    </w:p>
    <w:p>
      <w:pPr>
        <w:pStyle w:val="ListParagraph"/>
      </w:pPr>
      <w:r>
        <w:t>Lý luận chính trị  13 (tín chỉ)</w:t>
      </w:r>
    </w:p>
    <w:p>
      <w:pPr>
        <w:pStyle w:val="ListParagraph"/>
      </w:pPr>
      <w:r>
        <w:t>Tiếng Anh  14 (tín chỉ)</w:t>
      </w:r>
    </w:p>
    <w:p>
      <w:pPr>
        <w:pStyle w:val="ListParagraph"/>
      </w:pPr>
      <w:r>
        <w:t>Tin học  4 (tín chỉ)</w:t>
      </w:r>
    </w:p>
    <w:p>
      <w:pPr>
        <w:pStyle w:val="Normal"/>
      </w:pPr>
      <w:r>
        <w:t>-1.2 Khối kiến thức khoa học tự nhiên và xã hội  21 (tín chỉ)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