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2.2.4 Trình độ ngoại ngữ, tin học </w:t>
      </w:r>
    </w:p>
    <w:p>
      <w:pPr>
        <w:pStyle w:val="Normal"/>
      </w:pPr>
      <w:r>
        <w:t xml:space="preserve">PO10:   Đạt trình độ tiếng Anh 450 điểm TOEIC quốc tế; Có khả năng sử dụng tiếng Anh phục vụ học tập, nghiên cứu, và các ho ạt động liên quan đến nghề nghiệp được đào tạo. </w:t>
      </w:r>
    </w:p>
    <w:p>
      <w:pPr>
        <w:pStyle w:val="Normal"/>
      </w:pPr>
      <w:r>
        <w:t xml:space="preserve">PO11:  Có trình độ tin học thành thạo, có thể sử dụng trong công việc và hoạt động trong quá trình sản xuất kinh doanh.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