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c) Một trong các điều kiện đối với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Normal"/>
      </w:pPr>
      <w:r>
        <w:t xml:space="preserve">- Thí sinh có Chứng chỉ quốc tế SAT ,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 ; </w:t>
      </w:r>
    </w:p>
    <w:p>
      <w:pPr>
        <w:pStyle w:val="Normal"/>
      </w:pPr>
      <w:r>
        <w:t xml:space="preserve">- Thí sinh có Chứng chỉ tiếng An h quốc tế trong thời  hạn 02 năm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 ;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 Hóa, Tin học và có kết quả điểm trung bình chung học tập lớp 10, 11, 12 hoặc học kỳ 1 lớp 12 đạt từ 7,5 trở lên và có hạnh kiểm Khá trở lên ; </w:t>
      </w:r>
    </w:p>
    <w:p>
      <w:pPr>
        <w:pStyle w:val="Normal"/>
      </w:pPr>
      <w:r>
        <w:t xml:space="preserve">- 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11 ập lớp 10, 11, 12 hoặc học kỳ 1 lớp 12 đạt từ 8,0 trở l ên và có hạnh kiểm Khá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