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 I.  Các học phần bổ sung     </w:t>
      </w:r>
    </w:p>
    <w:p>
      <w:pPr>
        <w:pStyle w:val="Normal"/>
      </w:pPr>
      <w:r>
        <w:t xml:space="preserve">- Nội dung đào tạo: Các học phần ở trình độ thạc sĩ chuyên ngành Kỹ thuật Viễn thông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 Nội dung đào tạo: Các học phần trọng tâm ở trình độ thạc sĩ chuyên ngành Kỹ thuật Viễn thông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