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 IGF5401  </w:t>
      </w:r>
    </w:p>
    <w:p>
      <w:pPr>
        <w:pStyle w:val="ListParagraph"/>
      </w:pPr>
      <w:r>
        <w:t>Tên học phần: Học thuật hóa các bài toán kỹ thuật Scientific Approaches to Technical Matters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 tiết</w:t>
      </w:r>
    </w:p>
    <w:p>
      <w:pPr>
        <w:pStyle w:val="Normal"/>
      </w:pPr>
      <w:r>
        <w:t xml:space="preserve"> Mã học phần: ELE5401</w:t>
      </w:r>
    </w:p>
    <w:p>
      <w:pPr>
        <w:pStyle w:val="ListParagraph"/>
      </w:pPr>
      <w:r>
        <w:t>Tên học phần: Công cụ toán nâng cao cho điện tử - viễn thông Advanced Mathematic Tools for Electronics - Telecommunications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 TEL5401</w:t>
      </w:r>
    </w:p>
    <w:p>
      <w:pPr>
        <w:pStyle w:val="ListParagraph"/>
      </w:pPr>
      <w:r>
        <w:t>Tên học phần: Lý thuyết độ tin cậy Reliability Theory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