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Kiến thức ngành và chuyên ngành </w:t>
      </w:r>
    </w:p>
    <w:p>
      <w:pPr>
        <w:pStyle w:val="Normal"/>
      </w:pPr>
      <w:r>
        <w:t xml:space="preserve">  - Có trình độ hiểu biết sâu sắc về các kiến thức nền tảng của ngành/chuyên ngành, lĩnh vực cụ thể của ngành Điện tử - Truyền thông.  </w:t>
      </w:r>
    </w:p>
    <w:p>
      <w:pPr>
        <w:pStyle w:val="Normal"/>
      </w:pPr>
      <w:r>
        <w:t xml:space="preserve">- Có khả năng chứng minh tính đúng đắn và bảo vệ được các kết quả đề xuất bằng lý thuyết cũng như kiểm nghiệm bằng thực nghiệm, mô phỏng. </w:t>
      </w:r>
    </w:p>
    <w:p>
      <w:pPr>
        <w:pStyle w:val="Normal"/>
      </w:pPr>
      <w:r>
        <w:t xml:space="preserve">- Có các khả năng phân tích đánh giá các kiến thức ngành/chuyên ngành hiện có và từ đó phát hiện những kết quả mới trong lý thuyết cũng như thực tiễn góp phần làm giàu kho trí thức của chuyên ngành.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