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3. VỀ NĂNG LỰC CỦA NGƯỜI HỌC SAU KHI TỐT NGHIỆP  </w:t>
      </w:r>
    </w:p>
    <w:p>
      <w:pPr>
        <w:pStyle w:val="Normal"/>
      </w:pPr>
      <w:r>
        <w:t xml:space="preserve">- Nghiên cứu sinh sau khi tốt nghiệp chương trình đào tạo tiến sĩ có khả năng độc lập giải quyết những vấn đề nghiên cứu cơ bản cũng như ứng dụng trong lĩnh vực Kỹ thuật Điện tử.  </w:t>
      </w:r>
    </w:p>
    <w:p>
      <w:pPr>
        <w:pStyle w:val="Normal"/>
      </w:pPr>
      <w:r>
        <w:t xml:space="preserve">- Nghiên cứu sinh sau khi tốt nghiệp tiến sĩ có khả năng giảng dạy và nghiên cứu tại các trường đại học, cao đẳng, các cơ quan nghiên cứu, các cơ sở sản xuất, kinh doanh liên quan đến lĩnh vực Kỹ thuật Điện tử.  </w:t>
      </w:r>
    </w:p>
    <w:p>
      <w:pPr>
        <w:pStyle w:val="Normal"/>
      </w:pPr>
      <w:r>
        <w:t xml:space="preserve">- Có khả năng truyền đạt thông tin bằng cách giảng bày, soạn thảo báo cáo khoa học, tham gia và phát biểu trong các hội thảo khoa học, bình duyệt nghiên cứu của đồng nghiệp.  </w:t>
      </w:r>
    </w:p>
    <w:p>
      <w:pPr>
        <w:pStyle w:val="Normal"/>
      </w:pPr>
      <w:r>
        <w:t xml:space="preserve">- Có năng lực am hiểu tiếng Anh, và có khả năng sử dụng hay ứng dụng các kỹ thuật trong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