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2.1. Cấu trúc chương trình đào tạo  </w:t>
      </w:r>
    </w:p>
    <w:p>
      <w:pPr>
        <w:pStyle w:val="Normal"/>
      </w:pPr>
      <w:r>
        <w:t xml:space="preserve">Chương trình đào tạo trình độ tiến sĩ chuyên ngành Hệ thống Thông tin gồm các học phần bổ sung, các học phần ở trình độ tiến sĩ (có khối lượng 16 tín chỉ), nghiên cứu khoa học và luận án tiến sĩ (có khối lượng 80 tín chỉ) .  </w:t>
      </w:r>
    </w:p>
    <w:p>
      <w:pPr>
        <w:pStyle w:val="Heading5"/>
      </w:pPr>
      <w:r>
        <w:t xml:space="preserve">I.  Các học phần bổ sung     </w:t>
      </w:r>
    </w:p>
    <w:p>
      <w:pPr>
        <w:pStyle w:val="Normal"/>
      </w:pPr>
      <w:r>
        <w:t xml:space="preserve">-Nội dung đào tạo: Các học phần ở trình độ thạc sĩ chuyên ngành Hệ thống Thông tin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-Nội dung đào tạo: Các học phần trọng tâm ở trình độ thạc sĩ chuyên ngành Hệ thống Thông tin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số tín chỉ:16   </w:t>
      </w:r>
    </w:p>
    <w:p>
      <w:pPr>
        <w:pStyle w:val="Normal"/>
      </w:pPr>
      <w:r>
        <w:t xml:space="preserve">-Nội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  <w:r>
        <w:t xml:space="preserve">-Nội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-Nội dung đào tạo:  Luận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-Đối tượng: Tất cả nghiên cứu sinh  </w:t>
      </w:r>
    </w:p>
    <w:p>
      <w:pPr>
        <w:pStyle w:val="ListParagraph"/>
      </w:pPr>
      <w:r>
        <w:t xml:space="preserve">-Số tín chỉ:80 </w:t>
      </w:r>
    </w:p>
    <w:p>
      <w:pPr>
        <w:pStyle w:val="ListParagraph"/>
      </w:pPr>
      <w:r>
        <w:t xml:space="preserve">-Thời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