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Yêu cầu đối với luận án tiến sĩ </w:t>
      </w:r>
    </w:p>
    <w:p>
      <w:pPr>
        <w:pStyle w:val="Normal"/>
      </w:pPr>
      <w:r>
        <w:t xml:space="preserve"> - Luận án phải là một công trình nghiên cứu khoa h ọc sáng tạo, có đóng góp về mặt lý luận và thực tiễn trong l ĩnh vực nghiên cứu hoặc giải pháp mới có giá trị trong việc phát triển, gia tăng tri thức khoa  học của lĩnh vực nghiên cứu, giải quyết sáng tạo các vấn đề của chuyên ngành Hệ thống Thông tin và thực tiễn xã hội. </w:t>
      </w:r>
    </w:p>
    <w:p>
      <w:pPr>
        <w:pStyle w:val="Normal"/>
      </w:pPr>
      <w:r>
        <w:t xml:space="preserve"> - Luận án phải thể hiện sự hiểu biết sâu sắc về kiến thức và phương pháp tiến hành nghiên cứu; Luận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 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luận án .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luận 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