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 VỀ NĂNG LỰC CỦA NGƯỜI HỌC SAU KHI TỐT NGHIỆP  </w:t>
      </w:r>
    </w:p>
    <w:p>
      <w:pPr>
        <w:pStyle w:val="Normal"/>
      </w:pPr>
      <w:r>
        <w:t xml:space="preserve"> - Nghiên cứu sinh sau khi tốt nghiệp chương trình đ ào tạo tiến sĩ có khả năng độc lập giải quyết những vấn đề nghiên cứu cơ bản cũng như ứng dụng trong lĩnh vực Kỹ thuật Máy tính.</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Kỹ thuật Máy tính.  </w:t>
      </w:r>
    </w:p>
    <w:p>
      <w:pPr>
        <w:pStyle w:val="Normal"/>
      </w:pPr>
      <w:r>
        <w:t xml:space="preserve">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