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5"/>
      </w:pPr>
      <w:r>
        <w:t xml:space="preserve">I.  Các học phần bổ sung     </w:t>
      </w:r>
    </w:p>
    <w:p>
      <w:pPr>
        <w:pStyle w:val="Normal"/>
      </w:pPr>
      <w:r>
        <w:t xml:space="preserve">-Nội dung đào tạo: Các học phần ở trình độ thạc sĩ chuyên ngành Hệ thống Thông tin của Học viện Công nghệ Bưu chính Viễn thông  </w:t>
      </w:r>
    </w:p>
    <w:p>
      <w:pPr>
        <w:pStyle w:val="ListParagraph"/>
      </w:pPr>
      <w:r>
        <w:t xml:space="preserve">Đối tượng: Nghiên cứu sinh chưa có bằng thạc sĩ </w:t>
      </w:r>
    </w:p>
    <w:p>
      <w:pPr>
        <w:pStyle w:val="ListParagraph"/>
      </w:pPr>
      <w:r>
        <w:t xml:space="preserve">Số tín chỉ: lớn hơn hoặc bằng 30 </w:t>
      </w:r>
    </w:p>
    <w:p>
      <w:pPr>
        <w:pStyle w:val="ListParagraph"/>
      </w:pPr>
      <w:r>
        <w:t xml:space="preserve">Thời gian thực hiện: Trong 24 tháng đầu của thời gian đào tạo trình độ tiến sĩ   </w:t>
      </w:r>
    </w:p>
    <w:p>
      <w:pPr>
        <w:pStyle w:val="Normal"/>
      </w:pPr>
      <w:r>
        <w:t xml:space="preserve">-Nội dung đào tạo: Các học phần trọng tâm ở trình độ thạc sĩ chuyên ngành Hệ thống Thông tin của Học viện Công nghệ Bưu chính Viễn thông </w:t>
      </w:r>
    </w:p>
    <w:p>
      <w:pPr>
        <w:pStyle w:val="ListParagraph"/>
      </w:pPr>
      <w:r>
        <w:t xml:space="preserve">Đối tượng: Nghiên cứu sinh có bằng thạc sĩ ở chuyên ngành gần, hoặc chuyên ngành phù hợp nhưng đã tốt nghiệp quá 15 năm  </w:t>
      </w:r>
    </w:p>
    <w:p>
      <w:pPr>
        <w:pStyle w:val="ListParagraph"/>
      </w:pPr>
      <w:r>
        <w:t xml:space="preserve">Số tín chỉ: Theo quy định của Học viện  </w:t>
      </w:r>
    </w:p>
    <w:p>
      <w:pPr>
        <w:pStyle w:val="ListParagraph"/>
      </w:pPr>
      <w:r>
        <w:t xml:space="preserve">Thời gian thực hiện: Trong 24 tháng đầu của thời gian đào tạo trình độ tiến sĩ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