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IGF5402  </w:t>
      </w:r>
    </w:p>
    <w:p>
      <w:pPr>
        <w:pStyle w:val="ListParagraph"/>
      </w:pPr>
      <w:r>
        <w:t>Tên học phần: Phương pháp nghiên cứu và viết báo cáo khoa học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 xml:space="preserve"> Mã học phần:BSA5402  </w:t>
      </w:r>
    </w:p>
    <w:p>
      <w:pPr>
        <w:pStyle w:val="ListParagraph"/>
      </w:pPr>
      <w:r>
        <w:t xml:space="preserve">Tên học phần: Các lý thuyết quản trị hiện đại Modern Business Management Research Methods and Technical WritingTheories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INT5401 </w:t>
      </w:r>
    </w:p>
    <w:p>
      <w:pPr>
        <w:pStyle w:val="ListParagraph"/>
      </w:pPr>
      <w:r>
        <w:t>Tên học phần: Công cụ toán nâng cao cho công nghệ thông tin Advanced Mathematic Tools for Information Technology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INT5402 </w:t>
      </w:r>
    </w:p>
    <w:p>
      <w:pPr>
        <w:pStyle w:val="ListParagraph"/>
      </w:pPr>
      <w:r>
        <w:t>Tên học phần: Tối ưu tổ hợp và phân tích dữ liệu Complex Optimization and Data Analysis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