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3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 xml:space="preserve">Mã học phần: BSA5404  </w:t>
      </w:r>
    </w:p>
    <w:p>
      <w:pPr>
        <w:pStyle w:val="ListParagraph"/>
      </w:pPr>
      <w:r>
        <w:t xml:space="preserve">Tên học phần: Tái cấu trúc doanh nghiệp Reengineering the Corporation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BSA5405  </w:t>
      </w:r>
    </w:p>
    <w:p>
      <w:pPr>
        <w:pStyle w:val="ListParagraph"/>
      </w:pPr>
      <w:r>
        <w:t xml:space="preserve">Tên học phần: Năng lực cạnh tranh của doanh nghiệp Việt Nam trong môi trường hội nhập The Competitiveness of Vietnamese Enterprises in International Economic Integration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BSA5406  </w:t>
      </w:r>
    </w:p>
    <w:p>
      <w:pPr>
        <w:pStyle w:val="ListParagraph"/>
      </w:pPr>
      <w:r>
        <w:t xml:space="preserve">Tên học phần: Quản trị kinh doanh trong nền kinh tế số Business Admistration in Digital Economy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 xml:space="preserve">Tự học: 90 tiết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