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Kiến thức ngành và chuyên ngành</w:t>
      </w:r>
    </w:p>
    <w:p>
      <w:pPr>
        <w:pStyle w:val="Normal"/>
      </w:pPr>
      <w:r>
        <w:t xml:space="preserve">- Có trình độ hiểu biết sâu s ắc về các kiến thức nền tảng và các kiến thức nâng cao về quản trị kinh doanh.  </w:t>
      </w:r>
    </w:p>
    <w:p>
      <w:pPr>
        <w:pStyle w:val="Normal"/>
      </w:pPr>
      <w:r>
        <w:t xml:space="preserve">- Có khả năng phân t ích đánh gi á các kiến thức ngành/chuyên ngành hiện có và từ đó phát hiện những kết quả mới trong l ý thuyết cũng như thực tiễn góp phần làm giàu kho trí thức của chuyên ngành. </w:t>
      </w:r>
    </w:p>
    <w:p>
      <w:pPr>
        <w:pStyle w:val="Normal"/>
      </w:pPr>
      <w:r>
        <w:t xml:space="preserve">- Người học sẽ có kiến thức cập nhật và nâng cao các kiến thức về quản trị kinh doanh theo hướng chuyên sâu và hiện đại.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