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2.1. Thời lượng các khối kiến thức  </w:t>
      </w:r>
    </w:p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ListParagraph"/>
      </w:pPr>
      <w:r>
        <w:t xml:space="preserve">1.Triết học  </w:t>
      </w:r>
    </w:p>
    <w:p>
      <w:pPr>
        <w:pStyle w:val="ListParagraph"/>
      </w:pPr>
      <w:r>
        <w:t xml:space="preserve">Định hướng ứng dụng: 3 tín chỉ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2 Phương pháp nghiên cứu khoa học  </w:t>
      </w:r>
    </w:p>
    <w:p>
      <w:pPr>
        <w:pStyle w:val="ListParagraph"/>
      </w:pPr>
      <w:r>
        <w:t xml:space="preserve">Định hướng ứng dụng:2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ListParagraph"/>
      </w:pPr>
      <w:r>
        <w:t xml:space="preserve">3 Công cụ toán chuyên ngành  </w:t>
      </w:r>
    </w:p>
    <w:p>
      <w:pPr>
        <w:pStyle w:val="ListParagraph"/>
      </w:pPr>
      <w:r>
        <w:t xml:space="preserve">Định hướng ứng dụng:2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Heading5"/>
      </w:pPr>
      <w:r>
        <w:t xml:space="preserve">II Khối kiến thức cơ sở  </w:t>
      </w:r>
    </w:p>
    <w:p>
      <w:pPr>
        <w:pStyle w:val="Normal"/>
      </w:pPr>
      <w:r>
        <w:t xml:space="preserve">Định hướng ứng dụng: 10 tín chỉ  </w:t>
      </w:r>
    </w:p>
    <w:p>
      <w:pPr>
        <w:pStyle w:val="Normal"/>
      </w:pPr>
      <w:r>
        <w:t xml:space="preserve">Định hướng nghiên cứu: 12 tín chỉ  </w:t>
      </w:r>
    </w:p>
    <w:p>
      <w:pPr>
        <w:pStyle w:val="ListParagraph"/>
      </w:pPr>
      <w:r>
        <w:t xml:space="preserve">II.1 Các học phần bắt buộc  </w:t>
      </w:r>
    </w:p>
    <w:p>
      <w:pPr>
        <w:pStyle w:val="ListParagraph"/>
      </w:pPr>
      <w:r>
        <w:t xml:space="preserve">Định hướng ứng dụng: 4 tín chỉ  </w:t>
      </w:r>
    </w:p>
    <w:p>
      <w:pPr>
        <w:pStyle w:val="ListParagraph"/>
      </w:pPr>
      <w:r>
        <w:t xml:space="preserve">Định hướng nghiên cứu: 4 tín chỉ   </w:t>
      </w:r>
    </w:p>
    <w:p>
      <w:pPr>
        <w:pStyle w:val="ListParagraph"/>
      </w:pPr>
      <w:r>
        <w:t xml:space="preserve">II.2 Các học phần tự chọn  </w:t>
      </w:r>
    </w:p>
    <w:p>
      <w:pPr>
        <w:pStyle w:val="ListParagraph"/>
      </w:pPr>
      <w:r>
        <w:t xml:space="preserve">Định hướng ứng dụng: 6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ListParagraph"/>
      </w:pPr>
      <w:r>
        <w:t xml:space="preserve">II.3 Chuyên đề thạc sĩ 1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II.4 Chuyên đề thạc sĩ 2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Heading5"/>
      </w:pPr>
      <w:r>
        <w:t xml:space="preserve">III Khối kiến thức chuyên ngành  </w:t>
      </w:r>
    </w:p>
    <w:p>
      <w:pPr>
        <w:pStyle w:val="ListParagraph"/>
      </w:pPr>
      <w:r>
        <w:t xml:space="preserve">Định hướng ứng dụng: 18 tín chỉ  </w:t>
      </w:r>
    </w:p>
    <w:p>
      <w:pPr>
        <w:pStyle w:val="ListParagraph"/>
      </w:pPr>
      <w:r>
        <w:t xml:space="preserve">Định hướng nghiên cứu: 18 tín chỉ  </w:t>
      </w:r>
    </w:p>
    <w:p>
      <w:pPr>
        <w:pStyle w:val="ListParagraph"/>
      </w:pPr>
      <w:r>
        <w:t xml:space="preserve">III.1 Các học phần bắt buộc  </w:t>
      </w:r>
    </w:p>
    <w:p>
      <w:pPr>
        <w:pStyle w:val="ListParagraph"/>
      </w:pPr>
      <w:r>
        <w:t xml:space="preserve">Định hướng ứng dụng: 8 tín chỉ  </w:t>
      </w:r>
    </w:p>
    <w:p>
      <w:pPr>
        <w:pStyle w:val="ListParagraph"/>
      </w:pPr>
      <w:r>
        <w:t xml:space="preserve">Định hướng nghiên cứu: 8 tín chỉ  </w:t>
      </w:r>
    </w:p>
    <w:p>
      <w:pPr>
        <w:pStyle w:val="ListParagraph"/>
      </w:pPr>
      <w:r>
        <w:t xml:space="preserve">III.2 Các học phần tự chọn  </w:t>
      </w:r>
    </w:p>
    <w:p>
      <w:pPr>
        <w:pStyle w:val="ListParagraph"/>
      </w:pPr>
      <w:r>
        <w:t xml:space="preserve">Định hướng ứng dụng: 10 tín chỉ  </w:t>
      </w:r>
    </w:p>
    <w:p>
      <w:pPr>
        <w:pStyle w:val="ListParagraph"/>
      </w:pPr>
      <w:r>
        <w:t xml:space="preserve">Định hướng nghiên cứu: 4 tín chỉ </w:t>
      </w:r>
    </w:p>
    <w:p>
      <w:pPr>
        <w:pStyle w:val="ListParagraph"/>
      </w:pPr>
      <w:r>
        <w:t xml:space="preserve">III.3 Chuyên đề thạc sĩ 3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III.4  Chuyên đề thạc sĩ 4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Heading5"/>
      </w:pPr>
      <w:r>
        <w:t xml:space="preserve">IV Thực tập  </w:t>
      </w:r>
    </w:p>
    <w:p>
      <w:pPr>
        <w:pStyle w:val="Normal"/>
      </w:pPr>
      <w:r>
        <w:t xml:space="preserve">Định hướng ứng dụng: 7 tín chỉ   </w:t>
      </w:r>
    </w:p>
    <w:p>
      <w:pPr>
        <w:pStyle w:val="Normal"/>
      </w:pPr>
      <w:r>
        <w:t xml:space="preserve">Định hướng nghiên cứu: 0 tín chỉ  </w:t>
      </w:r>
    </w:p>
    <w:p>
      <w:pPr>
        <w:pStyle w:val="Heading5"/>
      </w:pPr>
      <w:r>
        <w:t xml:space="preserve">V Đề án Luận văn  </w:t>
      </w:r>
    </w:p>
    <w:p>
      <w:pPr>
        <w:pStyle w:val="Normal"/>
      </w:pPr>
      <w:r>
        <w:t xml:space="preserve">Định hướng ứng dụng: 9 tín chỉ  </w:t>
      </w:r>
    </w:p>
    <w:p>
      <w:pPr>
        <w:pStyle w:val="Normal"/>
      </w:pPr>
      <w:r>
        <w:t xml:space="preserve">Định hướng nghiên cứu: 14 tín chỉ  </w:t>
      </w:r>
    </w:p>
    <w:p>
      <w:pPr>
        <w:pStyle w:val="Heading5"/>
      </w:pPr>
      <w:r>
        <w:t xml:space="preserve">Tổng cộng  </w:t>
      </w:r>
    </w:p>
    <w:p>
      <w:pPr>
        <w:pStyle w:val="Normal"/>
      </w:pPr>
      <w:r>
        <w:t xml:space="preserve">Định hướng ứng dụng: 51 tín chỉ  </w:t>
      </w:r>
    </w:p>
    <w:p>
      <w:pPr>
        <w:pStyle w:val="Normal"/>
      </w:pPr>
      <w:r>
        <w:t xml:space="preserve">Định hướng nghiên cứu: 51 tín chỉ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