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15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ELE4521</w:t>
      </w:r>
    </w:p>
    <w:p>
      <w:pPr>
        <w:pStyle w:val="Normal"/>
      </w:pPr>
      <w:r>
        <w:t>Tên học phần (Tiếng Việt và tiếng Anh): Đề án thạc sĩ kỹ thuật điện tử Project for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ELE4522</w:t>
      </w:r>
    </w:p>
    <w:p>
      <w:pPr>
        <w:pStyle w:val="Normal"/>
      </w:pPr>
      <w:r>
        <w:t>Tên học phần (Tiếng Việt và tiếng Anh: Luận văn thạc sĩ kỹ thuật điện tử Thesis for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