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Thời lượng các khối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10 tín chỉ  </w:t>
      </w:r>
    </w:p>
    <w:p>
      <w:pPr>
        <w:pStyle w:val="Normal"/>
      </w:pPr>
      <w:r>
        <w:t xml:space="preserve">Định hướng nghiên cứu: 12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4 tín chỉ  </w:t>
      </w:r>
    </w:p>
    <w:p>
      <w:pPr>
        <w:pStyle w:val="ListParagraph"/>
      </w:pPr>
      <w:r>
        <w:t xml:space="preserve">Định hướng nghiên cứu: 4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18 tín chỉ  </w:t>
      </w:r>
    </w:p>
    <w:p>
      <w:pPr>
        <w:pStyle w:val="ListParagraph"/>
      </w:pPr>
      <w:r>
        <w:t xml:space="preserve">Định hướng nghiên cứu: 18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8 tín chỉ  </w:t>
      </w:r>
    </w:p>
    <w:p>
      <w:pPr>
        <w:pStyle w:val="ListParagraph"/>
      </w:pPr>
      <w:r>
        <w:t xml:space="preserve">Định hướng nghiên cứu: 8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4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7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51 tín chỉ  </w:t>
      </w:r>
    </w:p>
    <w:p>
      <w:pPr>
        <w:pStyle w:val="Normal"/>
      </w:pPr>
      <w:r>
        <w:t xml:space="preserve">Định hướng nghiên cứu: 51 tín chỉ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