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INT4414</w:t>
      </w:r>
    </w:p>
    <w:p>
      <w:pPr>
        <w:pStyle w:val="Normal"/>
      </w:pPr>
      <w:r>
        <w:t>Tên học phần (Tiếng Việt và tiếng Anh): Quản trị mạng Network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INT4416</w:t>
      </w:r>
    </w:p>
    <w:p>
      <w:pPr>
        <w:pStyle w:val="Normal"/>
      </w:pPr>
      <w:r>
        <w:t>Tên học phần (Tiếng Việt và tiếng Anh): Thiết kế và tối ưu mạng Network Design and Optimization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INT4418</w:t>
      </w:r>
    </w:p>
    <w:p>
      <w:pPr>
        <w:pStyle w:val="Normal"/>
      </w:pPr>
      <w:r>
        <w:t>Tên học phần (Tiếng Việt và tiếng Anh): Dữ liệu lớn Big Data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INT4419</w:t>
      </w:r>
    </w:p>
    <w:p>
      <w:pPr>
        <w:pStyle w:val="Normal"/>
      </w:pPr>
      <w:r>
        <w:t>Tên học phần (Tiếng Việt và tiếng Anh): Hệ thống thông tin doanh nghiệp Enterprises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mới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