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4"/>
      </w:pPr>
      <w:r>
        <w:t xml:space="preserve">1.1 Mục tiêu  </w:t>
      </w:r>
    </w:p>
    <w:p>
      <w:pPr>
        <w:pStyle w:val="Heading5"/>
      </w:pPr>
      <w:r>
        <w:t xml:space="preserve">Mục tiêu chung  </w:t>
      </w:r>
    </w:p>
    <w:p>
      <w:pPr>
        <w:pStyle w:val="Normal"/>
      </w:pPr>
      <w:r>
        <w:t xml:space="preserve">Đào tạo nhân lực trình độ thạc sĩ chuyên ngành Khoa học Máy tính . Nâng cao và bổ sung kiến thức đã được học ở đại học bao gồm kiến thức về triết học, ngoại ngữ, kiến thức cơ sở ngành và chuyên ngành Khoa học Máy tính . </w:t>
      </w:r>
    </w:p>
    <w:p>
      <w:pPr>
        <w:pStyle w:val="Heading5"/>
      </w:pPr>
      <w:r>
        <w:t xml:space="preserve">Mục tiêu cụ thể </w:t>
      </w:r>
    </w:p>
    <w:p>
      <w:pPr>
        <w:pStyle w:val="Normal"/>
      </w:pPr>
      <w:r>
        <w:t xml:space="preserve">Trang bị cho học viên kiến thức rộng về công nghệ thông tin, đồng thời cung cấp kiến thức chuyên sâu và cập nhật trong chuyên ngành Khoa học Máy tính, bao gồm  : </w:t>
      </w:r>
    </w:p>
    <w:p>
      <w:pPr>
        <w:pStyle w:val="Normal"/>
      </w:pPr>
      <w:r>
        <w:t xml:space="preserve"> + Nền tảng toán học của khoa học máy tính, lý thuyết tính toán và thuật toán, lập trình máy tính ; </w:t>
      </w:r>
    </w:p>
    <w:p>
      <w:pPr>
        <w:pStyle w:val="Normal"/>
      </w:pPr>
      <w:r>
        <w:t xml:space="preserve"> + Kiến thức mang tính hệ thống và tổng quát về hệ thống máy tính bao gồm cả phần cứng và phần mềm ; </w:t>
      </w:r>
    </w:p>
    <w:p>
      <w:pPr>
        <w:pStyle w:val="Normal"/>
      </w:pPr>
      <w:r>
        <w:t xml:space="preserve"> + Kiến thức chuyên sâu về một số lĩnh vực Khoa học Máy tính và ứng dụng. Các lĩnh vực chuyên sâu bao gồm: trí tuệ nhân tạo, phân tích dữ liệu, khai phá tri thức, xử lý ngôn ngữ tự nhiên, an toàn thông tin, tính toán y sinh, tính toán di động và Internet .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