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1.4. Về năng lực của người học sau khi  tốt nghiệp </w:t>
      </w:r>
    </w:p>
    <w:p>
      <w:pPr>
        <w:pStyle w:val="Normal"/>
      </w:pPr>
      <w:r>
        <w:t xml:space="preserve">- Giải quyết vấn đề trong phạm vi kiến thức được trang bị;   </w:t>
      </w:r>
    </w:p>
    <w:p>
      <w:pPr>
        <w:pStyle w:val="Normal"/>
      </w:pPr>
      <w:r>
        <w:t xml:space="preserve">- Tự thích ứng và cập nhật trình độ theo mức độ phát triển của khoa học máy tính, tự nghiên cứu, tìm giải pháp cho những vấn đề mới, kể cả những vấn đề liên quan ngoài phạm vi kiến thức đã được trang bị;  </w:t>
      </w:r>
    </w:p>
    <w:p>
      <w:pPr>
        <w:pStyle w:val="Normal"/>
      </w:pPr>
      <w:r>
        <w:t xml:space="preserve">- Có khả năng đ ảm nhiệm vai trò chủ chốt trong các nhóm công tác triển khai ứng dụng Công nghệ thông tin -truyền thông;  </w:t>
      </w:r>
    </w:p>
    <w:p>
      <w:pPr>
        <w:pStyle w:val="Normal"/>
      </w:pPr>
      <w:r>
        <w:t xml:space="preserve">- Có thể tham gia các nhóm nghiên cứu liên quan t ới khoa học máy tính;  </w:t>
      </w:r>
    </w:p>
    <w:p>
      <w:pPr>
        <w:pStyle w:val="Normal"/>
      </w:pPr>
      <w:r>
        <w:t xml:space="preserve">- Có thể tham gia các chương trình nghiên  cứu khoa học để đạt được trình độ cao hơn về khoa học máy tính;  </w:t>
      </w:r>
    </w:p>
    <w:p>
      <w:pPr>
        <w:pStyle w:val="Normal"/>
      </w:pPr>
      <w:r>
        <w:t xml:space="preserve">- Đối với chương trình theo định hướng nghiên cứu: Nghiên cứu khoa học trong lĩnh vực Khoa học Máy tính.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