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INT4420</w:t>
      </w:r>
    </w:p>
    <w:p>
      <w:pPr>
        <w:pStyle w:val="Normal"/>
      </w:pPr>
      <w:r>
        <w:t>Tên học phần (Tiếng Việt và tiếng Anh): Các kỹ thuật tối ưu Optimization Technique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INT4421</w:t>
      </w:r>
    </w:p>
    <w:p>
      <w:pPr>
        <w:pStyle w:val="Normal"/>
      </w:pPr>
      <w:r>
        <w:t>Tên học phần (Tiếng Việt và tiếng Anh): Xử lý ngôn ngữ tự nhiên Natural Language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INT4415</w:t>
      </w:r>
    </w:p>
    <w:p>
      <w:pPr>
        <w:pStyle w:val="Normal"/>
      </w:pPr>
      <w:r>
        <w:t>Tên học phần (Tiếng Việt và tiếng Anh): Thị giác máy tính Computer Vision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tính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