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INT4421</w:t>
      </w:r>
    </w:p>
    <w:p>
      <w:pPr>
        <w:pStyle w:val="Normal"/>
      </w:pPr>
      <w:r>
        <w:t>Tên học phần (Tiếng Việt và tiếng Anh): Xử lý ngôn ngữ tự nhiên Natural Language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INT4422</w:t>
      </w:r>
    </w:p>
    <w:p>
      <w:pPr>
        <w:pStyle w:val="Normal"/>
      </w:pPr>
      <w:r>
        <w:t>Tên học phần (Tiếng Việt và tiếng Anh): Tính toán phân tán Distributed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INT4423</w:t>
      </w:r>
    </w:p>
    <w:p>
      <w:pPr>
        <w:pStyle w:val="Normal"/>
      </w:pPr>
      <w:r>
        <w:t>Tên học phần (Tiếng Việt và tiếng Anh): Công nghệ phần mềm nhúng Embedded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INT4424</w:t>
      </w:r>
    </w:p>
    <w:p>
      <w:pPr>
        <w:pStyle w:val="Normal"/>
      </w:pPr>
      <w:r>
        <w:t>Tên học phần (Tiếng Việt và tiếng Anh): Tin sinh học Bioinformatics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Dịch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INT4426</w:t>
      </w:r>
    </w:p>
    <w:p>
      <w:pPr>
        <w:pStyle w:val="Normal"/>
      </w:pPr>
      <w:r>
        <w:t>Tên học phần (Tiếng Việt và tiếng Anh): Công nghệ phần mềm hướng Agent Agent-Oriented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INT4427</w:t>
      </w:r>
    </w:p>
    <w:p>
      <w:pPr>
        <w:pStyle w:val="Normal"/>
      </w:pPr>
      <w:r>
        <w:t>Tên học phần (Tiếng Việt và tiếng Anh): Mô hình hóa và mô phỏng các hệ thống phức tạp Modeling and Simulation of Complex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INT4435</w:t>
      </w:r>
    </w:p>
    <w:p>
      <w:pPr>
        <w:pStyle w:val="Normal"/>
      </w:pPr>
      <w:r>
        <w:t>Tên học phần (Tiếng Việt và tiếng Anh): Chuyên đề thạc sĩ 3 Special Study for Computer Science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INT4436</w:t>
      </w:r>
    </w:p>
    <w:p>
      <w:pPr>
        <w:pStyle w:val="Normal"/>
      </w:pPr>
      <w:r>
        <w:t>Tên học phần (Tiếng Việt và tiếng Anh): Chuyên đề thạc sĩ 4 Special Study for Computer Science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