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Kiến thức ngành và chuyên ngành</w:t>
      </w:r>
    </w:p>
    <w:p>
      <w:pPr>
        <w:pStyle w:val="Normal"/>
      </w:pPr>
      <w:r>
        <w:t xml:space="preserve">Sau khi hoàn thành chương trình Thạc sĩ ngành Khoa học Máy tính, học viên có những khả năng sau:   </w:t>
      </w:r>
    </w:p>
    <w:p>
      <w:pPr>
        <w:pStyle w:val="Normal"/>
      </w:pPr>
      <w:r>
        <w:t xml:space="preserve">- Vận dụng tốt các nguyên lý, lý thuyết  khoa học máy tính  cho các vấn đề thực tế ; </w:t>
      </w:r>
    </w:p>
    <w:p>
      <w:pPr>
        <w:pStyle w:val="Normal"/>
      </w:pPr>
      <w:r>
        <w:t xml:space="preserve">- Xác định và phân tích yêu cầu đối với các vấn đề cụ thể, lên kế hoạch và tìm giải pháp dựa trên máy tính cho vấn đề;  </w:t>
      </w:r>
    </w:p>
    <w:p>
      <w:pPr>
        <w:pStyle w:val="Normal"/>
      </w:pPr>
      <w:r>
        <w:t xml:space="preserve">- Đánh giá và thử nghiệm giải pháp dựa trên máy tính;  </w:t>
      </w:r>
    </w:p>
    <w:p>
      <w:pPr>
        <w:pStyle w:val="Normal"/>
      </w:pPr>
      <w:r>
        <w:t xml:space="preserve">- Có khả năng vận dụng các công cụ trong việc đặc tả, phân tích, xây dựng, triển khai, bảo trì các hệ thống dựa trên máy tính;  </w:t>
      </w:r>
    </w:p>
    <w:p>
      <w:pPr>
        <w:pStyle w:val="Normal"/>
      </w:pPr>
      <w:r>
        <w:t xml:space="preserve">- Đối với chương trình đào tạo theo định hướng nghiên cứu: tiến hành nghiên cứu khoa học trong lĩnh vực Khoa học Máy tính.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