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Mục tiêu chung  </w:t>
      </w:r>
    </w:p>
    <w:p>
      <w:pPr>
        <w:pStyle w:val="Normal"/>
      </w:pPr>
      <w:r>
        <w:t xml:space="preserve">Đào tạo nhân lực trình độ thạc sĩ chuyên ngành Khoa học Máy tính . Nâng cao và bổ sung kiến thức đã được học ở đại học bao gồm kiến thức về triết học, ngoại ngữ, kiến thức cơ sở ngành và chuyên ngành Khoa học Máy tính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