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dụng khoa học, công nghệ và giải quyết vấn đề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