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I.Khối kiến thức chung  </w:t>
      </w:r>
    </w:p>
    <w:p>
      <w:pPr>
        <w:pStyle w:val="Normal"/>
      </w:pPr>
      <w:r>
        <w:t xml:space="preserve">Định hướng ứng dụng: 7 tín chỉ  </w:t>
      </w:r>
    </w:p>
    <w:p>
      <w:pPr>
        <w:pStyle w:val="Normal"/>
      </w:pPr>
      <w:r>
        <w:t xml:space="preserve">Định hướng nghiên cứu: 7 tín chỉ  </w:t>
      </w:r>
    </w:p>
    <w:p>
      <w:pPr>
        <w:pStyle w:val="Normal"/>
      </w:pPr>
      <w:r>
        <w:t>1</w:t>
      </w:r>
    </w:p>
    <w:p>
      <w:pPr>
        <w:pStyle w:val="Normal"/>
      </w:pPr>
      <w:r>
        <w:t xml:space="preserve">Mã học phần: BAS4101  </w:t>
      </w:r>
    </w:p>
    <w:p>
      <w:pPr>
        <w:pStyle w:val="Normal"/>
      </w:pPr>
      <w:r>
        <w:t xml:space="preserve">Tên học phần (Tiếng Việt và tiếng Anh): Triết học Philosophy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3 </w:t>
      </w:r>
    </w:p>
    <w:p>
      <w:pPr>
        <w:pStyle w:val="Normal"/>
      </w:pPr>
      <w:r>
        <w:t xml:space="preserve">Định hướng nghiên cứu: 3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Thực hành/Bài tập/Thảo luận: 15</w:t>
      </w:r>
    </w:p>
    <w:p>
      <w:pPr>
        <w:pStyle w:val="Normal"/>
      </w:pPr>
      <w:r>
        <w:tab/>
        <w:t>Tự học: 135</w:t>
      </w:r>
    </w:p>
    <w:p>
      <w:pPr>
        <w:pStyle w:val="Normal"/>
      </w:pPr>
      <w:r>
        <w:t xml:space="preserve">Ghi chú: Theo quy định của Bộ GD&amp;ĐT  </w:t>
      </w:r>
    </w:p>
    <w:p>
      <w:pPr>
        <w:pStyle w:val="Normal"/>
      </w:pPr>
      <w:r>
        <w:t xml:space="preserve">2 </w:t>
      </w:r>
    </w:p>
    <w:p>
      <w:pPr>
        <w:pStyle w:val="Normal"/>
      </w:pPr>
      <w:r>
        <w:t xml:space="preserve">Mã học phần:IGF4101 </w:t>
      </w:r>
    </w:p>
    <w:p>
      <w:pPr>
        <w:pStyle w:val="Normal"/>
      </w:pPr>
      <w:r>
        <w:t xml:space="preserve">Tên học phần (Tiếng Việt và tiếng Anh): Phương pháp nghiên cứu khoa học Methodology of Scientific Research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3 </w:t>
      </w:r>
    </w:p>
    <w:p>
      <w:pPr>
        <w:pStyle w:val="Normal"/>
      </w:pPr>
      <w:r>
        <w:t>Mã học phần: BAS4105</w:t>
      </w:r>
    </w:p>
    <w:p>
      <w:pPr>
        <w:pStyle w:val="Normal"/>
      </w:pPr>
      <w:r>
        <w:t>Tên học phần (Tiếng Việt và tiếng Anh): Công cụ toán cho quản trị kinh doanh Mathematic Tools for Business Administration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