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 xml:space="preserve">Định hướng nghiên cứu: 10   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BSA4410</w:t>
      </w:r>
    </w:p>
    <w:p>
      <w:pPr>
        <w:pStyle w:val="Normal"/>
      </w:pPr>
      <w:r>
        <w:t>Tên học phần (Tiếng Việt và tiếng Anh): Quản trị chiến lược nâng cao Advanced Strategy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BSA4411</w:t>
      </w:r>
    </w:p>
    <w:p>
      <w:pPr>
        <w:pStyle w:val="Normal"/>
      </w:pPr>
      <w:r>
        <w:t>Tên học phần (Tiếng Việt và tiếng Anh): Quản trị nguồn nhân lực nâng cao Advanced Human Resources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BSA4412</w:t>
      </w:r>
    </w:p>
    <w:p>
      <w:pPr>
        <w:pStyle w:val="Normal"/>
      </w:pPr>
      <w:r>
        <w:t>Tên học phần (Tiếng Việt và tiếng Anh): Quản trị Marketing nâng cao Advanced Marketing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BSA4413</w:t>
      </w:r>
    </w:p>
    <w:p>
      <w:pPr>
        <w:pStyle w:val="Normal"/>
      </w:pPr>
      <w:r>
        <w:t>Tên học phần (Tiếng Việt và tiếng Anh): Quản trị tài chính doanh nghiệp nâng cao Advanced Business Financial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 xml:space="preserve">17 </w:t>
      </w:r>
    </w:p>
    <w:p>
      <w:pPr>
        <w:pStyle w:val="Normal"/>
      </w:pPr>
      <w:r>
        <w:t>Mã học phần: BSA4414</w:t>
      </w:r>
    </w:p>
    <w:p>
      <w:pPr>
        <w:pStyle w:val="Normal"/>
      </w:pPr>
      <w:r>
        <w:t>Tên học phần (Tiếng Việt và tiếng Anh): Quản trị sản xuất và tác nghiệp Operation and Production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