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III.3  </w:t>
      </w:r>
    </w:p>
    <w:p>
      <w:pPr>
        <w:pStyle w:val="Normal"/>
      </w:pPr>
      <w:r>
        <w:t>Mã học phần: BSA4431</w:t>
      </w:r>
    </w:p>
    <w:p>
      <w:pPr>
        <w:pStyle w:val="Normal"/>
      </w:pPr>
      <w:r>
        <w:t>Tên học phần (Tiếng Việt và tiếng Anh): Chuyên đề thạc sĩ 3 Special Study for Business Administration 3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