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V Đề án Luận văn         </w:t>
      </w:r>
    </w:p>
    <w:p>
      <w:pPr>
        <w:pStyle w:val="Normal"/>
      </w:pPr>
      <w:r>
        <w:t>33</w:t>
      </w:r>
    </w:p>
    <w:p>
      <w:pPr>
        <w:pStyle w:val="Normal"/>
      </w:pPr>
      <w:r>
        <w:t>Mã học phần: BSA4534</w:t>
      </w:r>
    </w:p>
    <w:p>
      <w:pPr>
        <w:pStyle w:val="Normal"/>
      </w:pPr>
      <w:r>
        <w:t>Tên học phần (Tiếng Việt và tiếng Anh): Đề án thạc sĩ quản trị kinh doanh Project for Business Administration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9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34</w:t>
      </w:r>
    </w:p>
    <w:p>
      <w:pPr>
        <w:pStyle w:val="Normal"/>
      </w:pPr>
      <w:r>
        <w:t>Mã học phần: BSA4535</w:t>
      </w:r>
    </w:p>
    <w:p>
      <w:pPr>
        <w:pStyle w:val="Normal"/>
      </w:pPr>
      <w:r>
        <w:t>Tên học phần (Tiếng Việt và tiếng Anh): Luận văn thạc sĩ quản trị kinh doanh Thesis for Business Administration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>Định hướng nghiên cứu: 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