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Đối tượng tuyển sinh</w:t>
      </w:r>
    </w:p>
    <w:p>
      <w:pPr>
        <w:pStyle w:val="Normal"/>
      </w:pPr>
      <w:r>
        <w:t>Thí sinh đã được công nhận tốt nghiệp trung học phổ thông (THPT) của Việt Nam hoặc có bằng tốt nghiệp của nước ngoài được công nhận trình độ tương đương (sau đây gọi chung là tốt nghiệp THPT); Thí sinh có bằng tốt nghiệp trung cấp ngành nghề thuộc cùng nhóm ngành dự tuyển và đã hoàn thành đủ yêu cầu khối lượng kiến thức văn hóa cấp THPT theo quy định;</w:t>
      </w:r>
    </w:p>
    <w:p>
      <w:pPr>
        <w:pStyle w:val="Normal"/>
      </w:pPr>
      <w:r>
        <w:t>Đáp ứng các điều kiện khác theo quy chế tuyển sinh hiện hành của Bộ Giáo dục và Đào tạo và của Học viện.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