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 XÉT TUYỂN THẲNG</w:t>
      </w:r>
    </w:p>
    <w:p>
      <w:pPr>
        <w:pStyle w:val="Normal"/>
      </w:pPr>
      <w:r>
        <w:t>không giới hạn chỉ tiêu</w:t>
      </w:r>
    </w:p>
    <w:p>
      <w:pPr>
        <w:pStyle w:val="Normal"/>
      </w:pPr>
      <w:r>
        <w:t>Đối tượng xét tuyển thẳng: theo quy định của Bộ Giáo dục và Đào tạo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