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6. Nguyễn tắc xét tuyển chung</w:t>
      </w:r>
    </w:p>
    <w:p>
      <w:pPr>
        <w:pStyle w:val="Normal"/>
      </w:pPr>
      <w:r>
        <w:t>Thí sinh phải đạt ngưỡng đảm bảo chất lượng đầu vào theo quy định của Học viện;</w:t>
      </w:r>
    </w:p>
    <w:p>
      <w:pPr>
        <w:pStyle w:val="Normal"/>
      </w:pPr>
      <w:r>
        <w:t>Xét tuyển theo ngành và theo tổ hợp môn thi;</w:t>
      </w:r>
    </w:p>
    <w:p>
      <w:pPr>
        <w:pStyle w:val="Normal"/>
      </w:pPr>
      <w:r>
        <w:t>Điểm trúng tuyển của các tổ hợp môn thi trong cùng một ngành là bằng nhau;</w:t>
      </w:r>
    </w:p>
    <w:p>
      <w:pPr>
        <w:pStyle w:val="Normal"/>
      </w:pPr>
      <w:r>
        <w:t>Xét tuyển các nguyện vọng bình đẳng như nhau (không có điểm chênh lệch giữa các nguyện vọng trong cùng một ngành);</w:t>
      </w:r>
    </w:p>
    <w:p>
      <w:pPr>
        <w:pStyle w:val="Normal"/>
      </w:pPr>
      <w:r>
        <w:t>Xét trúng tuyển từ thí sinh có kết quả cao xuống cho đến hết chỉ tiêu và đảm bảo chất lượng tuyển sinh;</w:t>
      </w:r>
    </w:p>
    <w:p>
      <w:pPr>
        <w:pStyle w:val="Normal"/>
      </w:pPr>
      <w:r>
        <w:t>Học viện không áp dụng thêm tiêu chí phụ riêng trong xét tuyển, ngoài quy định của Quy chế tuyển sinh đại học của Bộ GD&amp;ĐT;</w:t>
      </w:r>
    </w:p>
    <w:p>
      <w:pPr>
        <w:pStyle w:val="Normal"/>
      </w:pPr>
      <w:r>
        <w:t>Điểm trúng tuyển được tính theo thang điểm 10, tổng điểm tối đa của 3 môn thi theo tổ hợp xét tuyển là 30 điểm (chưa bao gồm điểm ưu tiên);</w:t>
      </w:r>
    </w:p>
    <w:p>
      <w:pPr>
        <w:pStyle w:val="Normal"/>
      </w:pPr>
      <w:r>
        <w:t>Nếu xét tuyển theo từng phương thức không đủ chỉ tiêu thì chỉ tiêu còn lại được chuyển sang xét tuyển theo các phương thức khác.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