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2.1. Kiến thức</w:t>
      </w:r>
    </w:p>
    <w:p>
      <w:pPr>
        <w:pStyle w:val="Normal"/>
      </w:pPr>
      <w:r>
        <w:t>Chương trình trang bị cho sinh viên những kiến thức sau:</w:t>
      </w:r>
    </w:p>
    <w:p>
      <w:pPr>
        <w:pStyle w:val="ListParagraph"/>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pPr>
        <w:pStyle w:val="ListParagraph"/>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pPr>
        <w:pStyle w:val="ListParagraph"/>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