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5. KHẢ NĂNG HỌC TẬP, NÂNG CAO TRÌNH ĐỘ SAU KHI RA TRƯỜNG  </w:t>
      </w:r>
    </w:p>
    <w:p>
      <w:pPr>
        <w:pStyle w:val="ListParagraph"/>
      </w:pPr>
      <w:r>
        <w:t xml:space="preserve">Có năng lực học tập suốt đời, đảm bảo kiến thức về chuyên môn và nghiệp vụ để học lên bậc Thạc sĩ, Tiến sĩ thuộc các chuyên ngành thuộc lĩnh vực viễn thông, IoT, công nghệ thông tin ở trong và ngoài nước;  </w:t>
      </w:r>
    </w:p>
    <w:p>
      <w:pPr>
        <w:pStyle w:val="ListParagraph"/>
      </w:pPr>
      <w:r>
        <w:t xml:space="preserve">Có thể thực hiện được các đề tài nghiên cứu khoa học thuộc lĩnh vực viễn thông, IoT, công nghệ thông tin ở các cấp khác nhau.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