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Công nghệ kỹ thuật điện-điện tử MỤC TIÊU, KIẾN THỨC, KỸ NĂNG, TRÌNH ĐỘ NGOẠI NGỮ ĐẠT ĐƯỢC  </w:t>
      </w:r>
    </w:p>
    <w:p>
      <w:pPr>
        <w:pStyle w:val="Heading3"/>
      </w:pPr>
      <w:r>
        <w:t xml:space="preserve">2.1. Kiến thức  </w:t>
      </w:r>
    </w:p>
    <w:p>
      <w:pPr>
        <w:pStyle w:val="Normal"/>
      </w:pPr>
      <w:r>
        <w:t xml:space="preserve">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pPr>
        <w:pStyle w:val="ListParagraph"/>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pPr>
        <w:pStyle w:val="ListParagraph"/>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pPr>
        <w:pStyle w:val="ListParagraph"/>
      </w:pPr>
      <w:r>
        <w:t xml:space="preserve">thông tin ...); Điện tử công nghiệp và tự động hóa, Kỹ thuật Robot công nghiệp ... </w:t>
      </w:r>
    </w:p>
    <w:p>
      <w:pPr>
        <w:pStyle w:val="Heading3"/>
      </w:pPr>
      <w:r>
        <w:t xml:space="preserve">2.2. Kỹ năng  </w:t>
      </w:r>
    </w:p>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ListParagraph"/>
      </w:pPr>
      <w:r>
        <w:t xml:space="preserve">Có phương pháp làm việc khoa học và chuyên nghiệ p, tư duy hệ thống và tư duy phân tích và làm việc hiệu quả trong nhóm (đa ngành), hội nhập được trong môi trường quốc tế.  </w:t>
      </w:r>
    </w:p>
    <w:p>
      <w:pPr>
        <w:pStyle w:val="Heading3"/>
      </w:pPr>
      <w:r>
        <w:t xml:space="preserve">2.4. Ngoại ngữ Tiếng Anh  </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