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133 tín chỉ  (không bao gồm Giáo dục thể chất, Giáo dục quốc phòng và Kỹ năng mềm)  </w:t>
      </w:r>
    </w:p>
    <w:p>
      <w:pPr>
        <w:pStyle w:val="Normal"/>
      </w:pPr>
      <w:r>
        <w:t xml:space="preserve">NỘI DUNG CHƯƠNG TRÌNH  </w:t>
      </w:r>
    </w:p>
    <w:p>
      <w:pPr>
        <w:pStyle w:val="ListParagraph"/>
      </w:pPr>
      <w:r>
        <w:t>Kiến thức giáo dục đại cương: 43 tín chỉ</w:t>
      </w:r>
    </w:p>
    <w:p>
      <w:pPr>
        <w:pStyle w:val="ListParagraph"/>
      </w:pPr>
      <w:r>
        <w:t>Kiến thức giáo dục chuyên nghiệp: 80 tín chỉ trong đó:</w:t>
      </w:r>
    </w:p>
    <w:p>
      <w:pPr>
        <w:pStyle w:val="ListParagraph"/>
      </w:pPr>
      <w:r>
        <w:t>Kiến thức cơ sở ngành: 44 tín chỉ</w:t>
      </w:r>
    </w:p>
    <w:p>
      <w:pPr>
        <w:pStyle w:val="ListParagraph"/>
      </w:pPr>
      <w:r>
        <w:t>Kiến thức chuyên ngành: 36 tín chỉ</w:t>
      </w:r>
    </w:p>
    <w:p>
      <w:pPr>
        <w:pStyle w:val="ListParagraph"/>
      </w:pPr>
      <w:r>
        <w:t>Thực tập và Tốt nghiệp: 10 tín chỉ</w:t>
      </w:r>
    </w:p>
    <w:p>
      <w:pPr>
        <w:pStyle w:val="ListParagraph"/>
      </w:pPr>
      <w:r>
        <w:t>Tổng cộng: 133 tín chỉ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