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2.4. Ngoại ngữ Tiếng Anh</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 xml:space="preserve">Có khả năng sử dụng tiếng Anh tốt trong các hoạt động liên quan đến nghề nghiệp được đào tạo.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