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6. VỊ TRÍ LÀM VIỆC SAU KHI TỐT NGHIỆP  </w:t>
      </w:r>
    </w:p>
    <w:p>
      <w:pPr>
        <w:pStyle w:val="ListParagraph"/>
      </w:pPr>
      <w:r>
        <w:t xml:space="preserve">Sau khi tốt nghiệp sinh viên có thể đảm nhận tốt các vị trí là cán bộ kỹ thuật, quản lý, điều hành trong lĩnh vực công nghệ thông tin;  </w:t>
      </w:r>
    </w:p>
    <w:p>
      <w:pPr>
        <w:pStyle w:val="ListParagraph"/>
      </w:pPr>
      <w:r>
        <w:t xml:space="preserve">Có thể trở thành các lập trình viên, các nhà quản trị hệ thống, quản trị bảo mật hệ thống công nghệ thông tin trong bất kỳ doanh nghiệp nào;  </w:t>
      </w:r>
    </w:p>
    <w:p>
      <w:pPr>
        <w:pStyle w:val="ListParagraph"/>
      </w:pPr>
      <w:r>
        <w:t xml:space="preserve">Có thể làm việc trong các dự án với vai trò là người quản trị dự án về công nghệ thông tin;   </w:t>
      </w:r>
    </w:p>
    <w:p>
      <w:pPr>
        <w:pStyle w:val="ListParagraph"/>
      </w:pPr>
      <w:r>
        <w:t xml:space="preserve">Có thể trở thành cán bộ nghiên cứu, cán bộ giảng dạy về công nghệ thông tin tại các Viện, Trung tâm nghiên cứu và các Cơ sở đào tạo;  </w:t>
      </w:r>
    </w:p>
    <w:p>
      <w:pPr>
        <w:pStyle w:val="ListParagraph"/>
      </w:pPr>
      <w:r>
        <w:t xml:space="preserve">Có thể tiếp tục học tiếp lên trình độ Sau đại học ở trong nước và nước ngoài.  </w:t>
      </w:r>
    </w:p>
    <w:p>
      <w:pPr>
        <w:pStyle w:val="Normal"/>
      </w:pPr>
      <w:r>
        <w:t xml:space="preserve"> Sau khi tốt nghiệp sinh viên có thể làm việc tại các vị trí cụ thể:  </w:t>
      </w:r>
    </w:p>
    <w:p>
      <w:pPr>
        <w:pStyle w:val="ListParagraph"/>
      </w:pPr>
      <w:r>
        <w:t xml:space="preserve">Các Cục, Vụ:  Cục Công nghệ thông tin, Cục Viễn thông, Cục quản lý phát thanh truyền hình và thông tin điện tử, Cục Ứng dụng công nghệ thông tin, Cục Công nghệ tin học nghiệp vụ , Cục thương mại điện tử và công nghệ thông tin, Cục Công nghệ thông tin và thống kê hải quan, Vụ Công nghệ thông tin, Vụ Bưu chính… ; </w:t>
      </w:r>
    </w:p>
    <w:p>
      <w:pPr>
        <w:pStyle w:val="ListParagraph"/>
      </w:pPr>
      <w:r>
        <w:t xml:space="preserve">Các Viện, Trung tâm:  Viện Công nghệ thông tin, Viện Công nghệ phần mềm và nội dung số Việt Nam, Viện Nghiên cứu điện tử - tin học – tự động hóa, Viện Chiến lược thông tin và truyền thông, Trung tâm Internet Việt Nam, Trung tâm Ứng cứu khẩn cấp máy tính Việt Nam, các Trung tâm  Thông tin trực thuộc các Bộ, Tổng cục… ; </w:t>
      </w:r>
    </w:p>
    <w:p>
      <w:pPr>
        <w:pStyle w:val="ListParagraph"/>
      </w:pPr>
      <w:r>
        <w:t xml:space="preserve">Các Tập đoàn, Tổng công ty:  Tập đoàn Bưu chính Viễn thông Việt Nam (VNPT), Tập đoàn Viễn thông quân đội (VIETEL), Tổng công ty Truyền thông đa phương tiện Việt Nam (VTC), Tổng công ty Viễn thông toàn cầu (GTEL), Tập  đoàn FPT … và các công ty, đơn vị trực thuộc: Công ty Điện toán và truyền số liệu, Công ty Thông tin điên tử hàng hải Việt Nam, Các Công ty Viễn thông, liên tỉnh, quốc tế, các Công ty hoạt động trong lĩnh vực viễn thông, công nghệ thông tin … ; </w:t>
      </w:r>
    </w:p>
    <w:p>
      <w:pPr>
        <w:pStyle w:val="ListParagraph"/>
      </w:pPr>
      <w:r>
        <w:t xml:space="preserve">Các phòng chức năng:  Công nghệ thông tin, Bưu chính viễn thông, Quản lý công nghệ, Khoa học công nghệ, Hệ thống quản trị, An ninh mạng … trực thuộc các Sở như: Sở Thông tin và truyền thông, Bưu điện, Sở Khoa học và Công nghệ… ở các Tỉnh, Thành phố.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