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b. Chuyên ngành Kỹ thuật máy tính  </w:t>
      </w:r>
    </w:p>
    <w:p>
      <w:pPr>
        <w:pStyle w:val="ListParagraph"/>
      </w:pPr>
      <w:r>
        <w:t xml:space="preserve">Thiết kế, xây dựng, cài đặt và bảo trì cả phần cứng và phần mềm (tập trung vào các phần mềm cho các thiết bị điện tử số) của các hệ thống điện tử số bao gồm các hệ thống truyền thông, máy tính và các hệ thống thiết bị dựa trên máy tính ; </w:t>
      </w:r>
    </w:p>
    <w:p>
      <w:pPr>
        <w:pStyle w:val="ListParagraph"/>
      </w:pPr>
      <w:r>
        <w:t xml:space="preserve">Thiết kế, xây dựng và ứng dụng các hệ thống nhú ng; </w:t>
      </w:r>
    </w:p>
    <w:p>
      <w:pPr>
        <w:pStyle w:val="ListParagraph"/>
      </w:pPr>
      <w:r>
        <w:t xml:space="preserve">Có các kỹ năng khác phục vụ cho hoạt động nghề nghiệp.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