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3023B" w14:textId="77FE69B7" w:rsidR="008909B0" w:rsidRDefault="008909B0" w:rsidP="008909B0">
      <w:pPr>
        <w:pStyle w:val="Heading1"/>
      </w:pPr>
      <w:r>
        <w:t xml:space="preserve">Chương trình đào tạo ngành Kế toán chuyên ngành Kế toán chuẩn quốc tế ACCA  </w:t>
      </w:r>
    </w:p>
    <w:p w14:paraId="7CAAF4FA" w14:textId="7B486AA5" w:rsidR="008909B0" w:rsidRPr="008909B0" w:rsidRDefault="008909B0" w:rsidP="008909B0">
      <w:pPr>
        <w:rPr>
          <w:lang w:val="en-US"/>
        </w:rPr>
      </w:pPr>
      <w:r>
        <w:t>(Quyết định số 656/QĐ -HV ngày 19/08/2019 về việc ban hành Chương trình giáo dục đại học ngành Kế</w:t>
      </w:r>
      <w:r w:rsidR="006D3DDD">
        <w:rPr>
          <w:lang w:val="en-US"/>
        </w:rPr>
        <w:t xml:space="preserve"> </w:t>
      </w:r>
      <w:r>
        <w:t xml:space="preserve">toán chuyên ngành Kế toán chuẩn quốc tế - trình độ đại học hệ chính quy ) </w:t>
      </w:r>
    </w:p>
    <w:p w14:paraId="4792100D" w14:textId="466F525B" w:rsidR="008909B0" w:rsidRDefault="008909B0" w:rsidP="008909B0">
      <w:pPr>
        <w:pStyle w:val="Heading2"/>
      </w:pPr>
      <w:r>
        <w:t xml:space="preserve">2. </w:t>
      </w:r>
      <w:r w:rsidR="00B27866">
        <w:rPr>
          <w:lang w:val="en-US"/>
          <w14:ligatures w14:val="none"/>
        </w:rPr>
        <w:t xml:space="preserve">Chuẩn đầu ra ngành </w:t>
      </w:r>
      <w:r w:rsidR="00B27866">
        <w:t xml:space="preserve">Kế toán chuyên ngành Kế toán chuẩn quốc tế ACCA </w:t>
      </w:r>
      <w:r>
        <w:t xml:space="preserve">MỤC TIÊU, KIẾN THỨC, KỸ NĂNG, TRÌNH ĐỘ NGOẠI NGỮ ĐẠT ĐƯỢC  </w:t>
      </w:r>
    </w:p>
    <w:p w14:paraId="497EA27B" w14:textId="77777777" w:rsidR="008909B0" w:rsidRDefault="008909B0" w:rsidP="008909B0">
      <w:pPr>
        <w:pStyle w:val="Heading3"/>
      </w:pPr>
      <w:r>
        <w:t xml:space="preserve">2.1 Mục tiêu  </w:t>
      </w:r>
    </w:p>
    <w:p w14:paraId="520985CB" w14:textId="537C5037" w:rsidR="008909B0" w:rsidRDefault="008909B0" w:rsidP="008909B0">
      <w:pPr>
        <w:pStyle w:val="ListParagraph"/>
        <w:numPr>
          <w:ilvl w:val="0"/>
          <w:numId w:val="8"/>
        </w:numPr>
      </w:pPr>
      <w:r>
        <w:t xml:space="preserve">Chương trình đào tạo ngành kế toán, chuyên ngành kế toán chuẩn quốc tế của Học viện Công nghệ Bưu chính Viễn thông được thiết kế nhằm đào tạo và cung ứng nguồn nhân lực trình độ đại học ngành kế toán hướng theo tiêu chuẩn kế toán quốc  tế. Sinh viên tốt nghiệp chương trình có phẩm chất đạo đức nghề nghiệp và sức khỏe tốt; có bản lĩnh chính trị vững vàng; có kiến thức cơ bản, cơ sở và bổ trợ về kinh tế, kinh doanh và quản lý; có kiến thức và kỹ năng chuyên môn về ngành nghề kế toán, phân  tích kinh doanh và kiểm toán theo chuẩn quốc tế; để có khả năng hội nhập vào thị trường lao động quốc tế.  </w:t>
      </w:r>
    </w:p>
    <w:p w14:paraId="756D40A8" w14:textId="48A212F7" w:rsidR="008909B0" w:rsidRPr="006D3DDD" w:rsidRDefault="008909B0" w:rsidP="008909B0">
      <w:pPr>
        <w:pStyle w:val="ListParagraph"/>
        <w:numPr>
          <w:ilvl w:val="0"/>
          <w:numId w:val="8"/>
        </w:numPr>
      </w:pPr>
      <w:r>
        <w:t xml:space="preserve">Sinh viên ra trường sẽ nhận được (1) Bằng cử nhân ngành kế toán của Học viện Công nghệ Bưu chính Viễn thông và (2) có đủ năng lực để hoàn thành kỳ th i để được cấp Chứng chỉ CAT (Kế toán viên quốc tế) của Hiệp hội kế toán công chứng Anh quốc (ACCA). </w:t>
      </w:r>
    </w:p>
    <w:p w14:paraId="3DACBF71" w14:textId="77777777" w:rsidR="008909B0" w:rsidRDefault="008909B0" w:rsidP="008909B0">
      <w:pPr>
        <w:pStyle w:val="Heading3"/>
      </w:pPr>
      <w:r>
        <w:t xml:space="preserve">2.2 Kiến thức  </w:t>
      </w:r>
    </w:p>
    <w:p w14:paraId="7E174FDD" w14:textId="286BB740" w:rsidR="008909B0" w:rsidRDefault="008909B0" w:rsidP="008909B0">
      <w:pPr>
        <w:pStyle w:val="ListParagraph"/>
        <w:numPr>
          <w:ilvl w:val="0"/>
          <w:numId w:val="9"/>
        </w:numPr>
      </w:pPr>
      <w:r>
        <w:t xml:space="preserve">Nắm vững các kiến thức đại cương về khoa học tự nhiên, khoa học xã hội, kinh tế, kinh doanh, quản trị và vận dụng các kiến thức này trong học tập, nghiên cứu và thực hiện các hoạt động nghề nghiệp kế toán, kiểm toán;  </w:t>
      </w:r>
    </w:p>
    <w:p w14:paraId="1804408C" w14:textId="34B754C4" w:rsidR="008909B0" w:rsidRDefault="008909B0" w:rsidP="008909B0">
      <w:pPr>
        <w:pStyle w:val="ListParagraph"/>
        <w:numPr>
          <w:ilvl w:val="0"/>
          <w:numId w:val="9"/>
        </w:numPr>
      </w:pPr>
      <w:r>
        <w:t xml:space="preserve">Nắm vững kiến thức nền tảng mang tính nguyên lý và có khả năng tự phát hiện, cập nhật những thay đổi của chuẩn mực, chế độ kế toán Việt Nam và quốc tế để phục vụ cho công v iệc chuyên môn.  </w:t>
      </w:r>
    </w:p>
    <w:p w14:paraId="37720BE0" w14:textId="0912F350" w:rsidR="008909B0" w:rsidRDefault="008909B0" w:rsidP="008909B0">
      <w:pPr>
        <w:pStyle w:val="ListParagraph"/>
        <w:numPr>
          <w:ilvl w:val="0"/>
          <w:numId w:val="9"/>
        </w:numPr>
      </w:pPr>
      <w:r>
        <w:t xml:space="preserve">Nắm vững kiến thức về kế toán tài chính chuẩn quốc tế theo chương trình CAT -ACCA (Anh Quốc)  </w:t>
      </w:r>
    </w:p>
    <w:p w14:paraId="4FB403AF" w14:textId="1A1F3955" w:rsidR="008909B0" w:rsidRDefault="008909B0" w:rsidP="008909B0">
      <w:pPr>
        <w:pStyle w:val="ListParagraph"/>
        <w:numPr>
          <w:ilvl w:val="0"/>
          <w:numId w:val="9"/>
        </w:numPr>
      </w:pPr>
      <w:r>
        <w:t xml:space="preserve">Nắm vững kiến thức về kế toán quản trị, kiểm toán chuẩn quốc tế theo chương trình CAT -ACCA (Anh Quốc)   </w:t>
      </w:r>
    </w:p>
    <w:p w14:paraId="7BEF8A42" w14:textId="0D27837C" w:rsidR="008909B0" w:rsidRPr="006D3DDD" w:rsidRDefault="008909B0" w:rsidP="006D3DDD">
      <w:pPr>
        <w:pStyle w:val="ListParagraph"/>
        <w:numPr>
          <w:ilvl w:val="0"/>
          <w:numId w:val="9"/>
        </w:numPr>
      </w:pPr>
      <w:r>
        <w:t>Nắm vững kiến thức về tài chính, phân tích tài chính, thuế chuẩn quốc tế theo chương trình CAT</w:t>
      </w:r>
      <w:r>
        <w:rPr>
          <w:lang w:val="en-US"/>
        </w:rPr>
        <w:t>-</w:t>
      </w:r>
      <w:r>
        <w:t xml:space="preserve">ACCA (Anh Quốc) </w:t>
      </w:r>
    </w:p>
    <w:p w14:paraId="03400275" w14:textId="77777777" w:rsidR="008909B0" w:rsidRDefault="008909B0" w:rsidP="008909B0">
      <w:pPr>
        <w:pStyle w:val="Heading3"/>
      </w:pPr>
      <w:r>
        <w:t xml:space="preserve">2.3 Kỹ năng  </w:t>
      </w:r>
    </w:p>
    <w:p w14:paraId="6FF8B3AD" w14:textId="2ED0AB4E" w:rsidR="008909B0" w:rsidRDefault="008909B0" w:rsidP="008909B0">
      <w:pPr>
        <w:pStyle w:val="ListParagraph"/>
        <w:numPr>
          <w:ilvl w:val="0"/>
          <w:numId w:val="11"/>
        </w:numPr>
      </w:pPr>
      <w:r>
        <w:t xml:space="preserve">Có kỹ năng  tổ chức và thực hiện các công việc kế toán tài chính, kế toán quản trị, xử lý và thiết lập hệ thống thông tin kế toán, phân tích kinh doanh, phân tích tài chính, kiểm soát nội bộ trong các tổ chức, các loại hình doanh nghiệp, các cơ quan tổ chức theo chuẩn kế toán quốc tế và Việt Nam;  </w:t>
      </w:r>
    </w:p>
    <w:p w14:paraId="524B0E5D" w14:textId="29883ACB" w:rsidR="008909B0" w:rsidRDefault="008909B0" w:rsidP="008909B0">
      <w:pPr>
        <w:pStyle w:val="ListParagraph"/>
        <w:numPr>
          <w:ilvl w:val="0"/>
          <w:numId w:val="11"/>
        </w:numPr>
      </w:pPr>
      <w:r>
        <w:lastRenderedPageBreak/>
        <w:t xml:space="preserve">Biết xây dựng các chính sách, chế độ kế toán, kiểm toán nội bộ trong các loại hình doanh nghiệp, các cơ quan tổ chức theo chuẩn kế toán quốc tế và Việt Nam;  </w:t>
      </w:r>
    </w:p>
    <w:p w14:paraId="22FDA2D5" w14:textId="649A3C7E" w:rsidR="008909B0" w:rsidRPr="006D3DDD" w:rsidRDefault="008909B0" w:rsidP="008909B0">
      <w:pPr>
        <w:pStyle w:val="ListParagraph"/>
        <w:numPr>
          <w:ilvl w:val="0"/>
          <w:numId w:val="11"/>
        </w:numPr>
        <w:rPr>
          <w:lang w:val="en-US"/>
        </w:rPr>
      </w:pPr>
      <w:r>
        <w:t>Có kỹ năng sáng tạo, v ận dụng những kiến thức về kế toán quốc tế để hoàn thiện hoạt động kế toán của các doanh nghiệp Việt Nam và nước ngoài.</w:t>
      </w:r>
    </w:p>
    <w:p w14:paraId="27A08D1D" w14:textId="77777777" w:rsidR="008909B0" w:rsidRDefault="008909B0" w:rsidP="008909B0">
      <w:pPr>
        <w:pStyle w:val="Heading3"/>
      </w:pPr>
      <w:r>
        <w:t xml:space="preserve">2.4 Kỹ năng mềm  </w:t>
      </w:r>
    </w:p>
    <w:p w14:paraId="53C62C60" w14:textId="4701DA82" w:rsidR="008909B0" w:rsidRDefault="008909B0" w:rsidP="008909B0">
      <w:pPr>
        <w:pStyle w:val="ListParagraph"/>
        <w:numPr>
          <w:ilvl w:val="0"/>
          <w:numId w:val="13"/>
        </w:numPr>
      </w:pPr>
      <w:r>
        <w:t xml:space="preserve">Kỹ năng giao tiếp: giao tiếp và thuyết trình tốt thể hiện qua việc trình bày rõ ràng, tự tin và thuyết phục các vấn đề liên quan đến chuyên môn và các vấn đề kinh tế xã hội;  </w:t>
      </w:r>
    </w:p>
    <w:p w14:paraId="74A1503D" w14:textId="51A83A3E" w:rsidR="008909B0" w:rsidRDefault="008909B0" w:rsidP="008909B0">
      <w:pPr>
        <w:pStyle w:val="ListParagraph"/>
        <w:numPr>
          <w:ilvl w:val="0"/>
          <w:numId w:val="13"/>
        </w:numPr>
      </w:pPr>
      <w:r>
        <w:t xml:space="preserve">Kỹ năng làm việc nhóm: biết thành lập và tổ chức tốt công việc theo nhóm;  </w:t>
      </w:r>
    </w:p>
    <w:p w14:paraId="0C9AD4E6" w14:textId="6D70C728" w:rsidR="008909B0" w:rsidRPr="006D3DDD" w:rsidRDefault="008909B0" w:rsidP="006D3DDD">
      <w:pPr>
        <w:pStyle w:val="ListParagraph"/>
        <w:numPr>
          <w:ilvl w:val="0"/>
          <w:numId w:val="13"/>
        </w:numPr>
      </w:pPr>
      <w:r>
        <w:t xml:space="preserve">Có các kỹ năng cá nhân và phẩm chất nghề nghiệp trong việc giải quyết vấn đề, tư duy sáng tạo, lập kế hoạch và tổ chức công việc.  </w:t>
      </w:r>
    </w:p>
    <w:p w14:paraId="7011AEEA" w14:textId="45B2E829" w:rsidR="008909B0" w:rsidRDefault="008909B0" w:rsidP="008909B0">
      <w:pPr>
        <w:pStyle w:val="Heading3"/>
      </w:pPr>
      <w:r>
        <w:t xml:space="preserve">2.5 Ngoại ngữ Tiếng Anh </w:t>
      </w:r>
    </w:p>
    <w:p w14:paraId="717046D5" w14:textId="0EDAB573" w:rsidR="008909B0" w:rsidRDefault="008909B0" w:rsidP="008909B0">
      <w:pPr>
        <w:pStyle w:val="ListParagraph"/>
        <w:numPr>
          <w:ilvl w:val="0"/>
          <w:numId w:val="15"/>
        </w:numPr>
      </w:pPr>
      <w:r>
        <w:t xml:space="preserve">Đạt trình độ tiếng Anh 450 điểm TOEIC quốc tế;  </w:t>
      </w:r>
    </w:p>
    <w:p w14:paraId="42E7A3D0" w14:textId="0F84F718" w:rsidR="008909B0" w:rsidRPr="006D3DDD" w:rsidRDefault="008909B0" w:rsidP="006D3DDD">
      <w:pPr>
        <w:pStyle w:val="ListParagraph"/>
        <w:numPr>
          <w:ilvl w:val="0"/>
          <w:numId w:val="15"/>
        </w:numPr>
        <w:rPr>
          <w:lang w:val="en-US"/>
        </w:rPr>
      </w:pPr>
      <w:r>
        <w:t>Có khả năng sử dụng tiếng Anh tốt trong các hoạt động liên quan đến nghề nghiệp được đào tạo.</w:t>
      </w:r>
    </w:p>
    <w:p w14:paraId="4A94F25E" w14:textId="77777777" w:rsidR="008909B0" w:rsidRDefault="008909B0" w:rsidP="008909B0">
      <w:pPr>
        <w:pStyle w:val="Heading3"/>
      </w:pPr>
      <w:r>
        <w:t xml:space="preserve">2.6 Công nghệ thông tin  </w:t>
      </w:r>
    </w:p>
    <w:p w14:paraId="32B5F220" w14:textId="76235CA5" w:rsidR="008909B0" w:rsidRPr="006D3DDD" w:rsidRDefault="008909B0" w:rsidP="006D3DDD">
      <w:pPr>
        <w:pStyle w:val="ListParagraph"/>
        <w:numPr>
          <w:ilvl w:val="0"/>
          <w:numId w:val="17"/>
        </w:numPr>
      </w:pPr>
      <w:r>
        <w:t xml:space="preserve">Sinh viên tốt nghiệp đạt chuẩn kỹ năng sử dụng công nghệ thông tin cơ bản theo qui định về Chuẩn kỹ năng sử dụng công nghệ thông tin do Bộ Thông tin và Truyền thông ban hành. Cụ thể, sinh viên có khả năng cơ bản trong việc sử dụng máy tính, xử lý văn bản, sử dụng bảng tính, sử dụng các phương tiện kĩ thuật, phần mềm chuyên dùng và </w:t>
      </w:r>
      <w:r w:rsidRPr="008909B0">
        <w:rPr>
          <w:lang w:val="en-US"/>
        </w:rPr>
        <w:t>s</w:t>
      </w:r>
      <w:r>
        <w:t>ử dụng Internet trong các hoạt động liên quan đến nghề nghiệp được đào tạo.</w:t>
      </w:r>
    </w:p>
    <w:p w14:paraId="407C30A0" w14:textId="7BE5B2CF" w:rsidR="008909B0" w:rsidRDefault="008909B0" w:rsidP="00D74591">
      <w:pPr>
        <w:pStyle w:val="Heading2"/>
      </w:pPr>
      <w:r>
        <w:t xml:space="preserve">3. CÁC CHÍNH SÁCH, HOẠT ĐỘNG HỖ TRỢ HỌC TẬP, SINH HOẠT CHO NGƯỜI HỌC  </w:t>
      </w:r>
    </w:p>
    <w:p w14:paraId="02C0DE87" w14:textId="699EE424" w:rsidR="008909B0" w:rsidRDefault="008909B0" w:rsidP="00D74591">
      <w:pPr>
        <w:pStyle w:val="ListParagraph"/>
        <w:numPr>
          <w:ilvl w:val="0"/>
          <w:numId w:val="17"/>
        </w:numPr>
      </w:pPr>
      <w:r>
        <w:t xml:space="preserve">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14:paraId="565E96CA" w14:textId="67823EE6" w:rsidR="008909B0" w:rsidRDefault="008909B0" w:rsidP="00D74591">
      <w:pPr>
        <w:pStyle w:val="ListParagraph"/>
        <w:numPr>
          <w:ilvl w:val="0"/>
          <w:numId w:val="17"/>
        </w:numPr>
      </w:pPr>
      <w:r>
        <w:t xml:space="preserve">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14:paraId="3BA83B2A" w14:textId="75C8E7EE" w:rsidR="008909B0" w:rsidRPr="006D3DDD" w:rsidRDefault="008909B0" w:rsidP="006D3DDD">
      <w:pPr>
        <w:pStyle w:val="ListParagraph"/>
        <w:numPr>
          <w:ilvl w:val="0"/>
          <w:numId w:val="17"/>
        </w:numPr>
      </w:pPr>
      <w:r>
        <w:t>Chế độ, chính sách đối với sinh viên được thực hiện trên tinh thần công khai, công bằng và đúng quy định. Tổ chức xét khen thưởng, kỷ luật được tiến hành thường xuyên và đúng quy chế.</w:t>
      </w:r>
    </w:p>
    <w:p w14:paraId="3FF28CE7" w14:textId="77777777" w:rsidR="008909B0" w:rsidRDefault="008909B0" w:rsidP="00D74591">
      <w:pPr>
        <w:pStyle w:val="Heading2"/>
      </w:pPr>
      <w:r>
        <w:t xml:space="preserve">4. CHƯƠNG TRÌNH ĐÀO TẠO  </w:t>
      </w:r>
    </w:p>
    <w:p w14:paraId="43E09400" w14:textId="66BDFE6D" w:rsidR="008909B0" w:rsidRDefault="008909B0" w:rsidP="008909B0">
      <w:r>
        <w:t xml:space="preserve">KHỐI LƯỢNG KIẾN THỨC TOÀN KHÓA: 131 tín chỉ (không bao gồm nội dung về Giáo dục thể chất và Giáo dục quốc phòng và Kỹ năng mềm)  </w:t>
      </w:r>
    </w:p>
    <w:p w14:paraId="199A94A0" w14:textId="77777777" w:rsidR="008909B0" w:rsidRDefault="008909B0" w:rsidP="00B27866">
      <w:r>
        <w:t xml:space="preserve">NỘI DUNG CHƯƠNG TRÌNH  </w:t>
      </w:r>
    </w:p>
    <w:p w14:paraId="3C7C7C35" w14:textId="4603D368" w:rsidR="00D74591" w:rsidRPr="00D74591" w:rsidRDefault="00D74591" w:rsidP="00D74591">
      <w:pPr>
        <w:pStyle w:val="ListParagraph"/>
        <w:numPr>
          <w:ilvl w:val="0"/>
          <w:numId w:val="18"/>
        </w:numPr>
        <w:rPr>
          <w:lang w:val="en-US"/>
        </w:rPr>
      </w:pPr>
      <w:r w:rsidRPr="00D74591">
        <w:rPr>
          <w:lang w:val="en-US"/>
        </w:rPr>
        <w:t>Kiến thức giáo dục đại cương: 43 tín chỉ</w:t>
      </w:r>
    </w:p>
    <w:p w14:paraId="4A5C2EDF" w14:textId="3EAAEA28" w:rsidR="00D74591" w:rsidRPr="00D74591" w:rsidRDefault="00D74591" w:rsidP="00D74591">
      <w:pPr>
        <w:pStyle w:val="ListParagraph"/>
        <w:numPr>
          <w:ilvl w:val="0"/>
          <w:numId w:val="18"/>
        </w:numPr>
        <w:rPr>
          <w:lang w:val="en-US"/>
        </w:rPr>
      </w:pPr>
      <w:r w:rsidRPr="00D74591">
        <w:rPr>
          <w:lang w:val="en-US"/>
        </w:rPr>
        <w:t>Kiến thức giáo dục chuyên nghiệp: 78 tín chỉ</w:t>
      </w:r>
    </w:p>
    <w:p w14:paraId="08D8D73A" w14:textId="4BC93621" w:rsidR="00D74591" w:rsidRPr="00D74591" w:rsidRDefault="00D74591" w:rsidP="00D74591">
      <w:pPr>
        <w:pStyle w:val="ListParagraph"/>
        <w:numPr>
          <w:ilvl w:val="1"/>
          <w:numId w:val="18"/>
        </w:numPr>
        <w:rPr>
          <w:lang w:val="en-US"/>
        </w:rPr>
      </w:pPr>
      <w:r w:rsidRPr="00D74591">
        <w:rPr>
          <w:lang w:val="en-US"/>
        </w:rPr>
        <w:lastRenderedPageBreak/>
        <w:t>Kiến thức cơ sở khối ngành và ngành: 46 tín chỉ</w:t>
      </w:r>
    </w:p>
    <w:p w14:paraId="0F0455DD" w14:textId="772D1BA2" w:rsidR="00D74591" w:rsidRPr="00D74591" w:rsidRDefault="00D74591" w:rsidP="00D74591">
      <w:pPr>
        <w:pStyle w:val="ListParagraph"/>
        <w:numPr>
          <w:ilvl w:val="1"/>
          <w:numId w:val="18"/>
        </w:numPr>
        <w:rPr>
          <w:lang w:val="en-US"/>
        </w:rPr>
      </w:pPr>
      <w:r w:rsidRPr="00D74591">
        <w:rPr>
          <w:lang w:val="en-US"/>
        </w:rPr>
        <w:t>Kiến thức ngành và chuyên ngành (trong đó các môn CAT-ACCA): 32 (42)</w:t>
      </w:r>
    </w:p>
    <w:p w14:paraId="28A9B06F" w14:textId="0BD16383" w:rsidR="00D74591" w:rsidRPr="00D74591" w:rsidRDefault="00D74591" w:rsidP="00D74591">
      <w:pPr>
        <w:pStyle w:val="ListParagraph"/>
        <w:numPr>
          <w:ilvl w:val="0"/>
          <w:numId w:val="18"/>
        </w:numPr>
        <w:rPr>
          <w:lang w:val="en-US"/>
        </w:rPr>
      </w:pPr>
      <w:r w:rsidRPr="00D74591">
        <w:rPr>
          <w:lang w:val="en-US"/>
        </w:rPr>
        <w:t>Thực tập và Tốt nghiệp: 10 tín chỉ</w:t>
      </w:r>
    </w:p>
    <w:p w14:paraId="7C0569C6" w14:textId="5ACC6098" w:rsidR="00D74591" w:rsidRPr="00B27866" w:rsidRDefault="00D74591" w:rsidP="00B27866">
      <w:pPr>
        <w:pStyle w:val="ListParagraph"/>
        <w:numPr>
          <w:ilvl w:val="0"/>
          <w:numId w:val="18"/>
        </w:numPr>
        <w:rPr>
          <w:lang w:val="en-US"/>
        </w:rPr>
      </w:pPr>
      <w:r w:rsidRPr="00D74591">
        <w:rPr>
          <w:lang w:val="en-US"/>
        </w:rPr>
        <w:t xml:space="preserve">Tổng cộng: 131 tín chỉ </w:t>
      </w:r>
    </w:p>
    <w:p w14:paraId="74EBCC1C" w14:textId="77777777" w:rsidR="008909B0" w:rsidRDefault="008909B0" w:rsidP="00ED1CAD">
      <w:pPr>
        <w:pStyle w:val="Heading2"/>
      </w:pPr>
      <w:r>
        <w:t xml:space="preserve">5. KHẢ NĂNG HỌC TẬP, NÂNG CAO TRÌNH ĐỘ SAU KHI RA TRƯỜNG  </w:t>
      </w:r>
    </w:p>
    <w:p w14:paraId="150CA49F" w14:textId="53E4CB47" w:rsidR="008909B0" w:rsidRDefault="008909B0" w:rsidP="00ED1CAD">
      <w:pPr>
        <w:pStyle w:val="ListParagraph"/>
        <w:numPr>
          <w:ilvl w:val="0"/>
          <w:numId w:val="20"/>
        </w:numPr>
      </w:pPr>
      <w:r>
        <w:t xml:space="preserve">Có khả năng học tập tiếp các chương trình cao học trong và ngoài nước;  </w:t>
      </w:r>
    </w:p>
    <w:p w14:paraId="6EDF15D2" w14:textId="2C98B51E" w:rsidR="008909B0" w:rsidRPr="006D3DDD" w:rsidRDefault="008909B0" w:rsidP="008909B0">
      <w:pPr>
        <w:pStyle w:val="ListParagraph"/>
        <w:numPr>
          <w:ilvl w:val="0"/>
          <w:numId w:val="20"/>
        </w:numPr>
      </w:pPr>
      <w:r>
        <w:t>Đáp ứng các điều kiện tiếp tục học để lấy chứng chỉ chuyên nghiệp ACCA (Anh Quốc), CPA (Úc).</w:t>
      </w:r>
    </w:p>
    <w:p w14:paraId="7F54FB38" w14:textId="070F0D23" w:rsidR="008909B0" w:rsidRDefault="008909B0" w:rsidP="00ED1CAD">
      <w:pPr>
        <w:pStyle w:val="Heading2"/>
      </w:pPr>
      <w:r>
        <w:t xml:space="preserve">6. VỊ TRÍ LÀM VIỆC SAU KHI TỐT NGHIỆP  </w:t>
      </w:r>
    </w:p>
    <w:p w14:paraId="7A367CC4" w14:textId="77777777" w:rsidR="008909B0" w:rsidRDefault="008909B0" w:rsidP="008909B0">
      <w:r>
        <w:t xml:space="preserve">Sau khi tốt nghiệp sinh viên có đủ năng lực để đảm nhận các vị trí công việc sau:  </w:t>
      </w:r>
    </w:p>
    <w:p w14:paraId="46531210" w14:textId="0BDFB6BC" w:rsidR="008909B0" w:rsidRDefault="008909B0" w:rsidP="00ED1CAD">
      <w:pPr>
        <w:pStyle w:val="ListParagraph"/>
        <w:numPr>
          <w:ilvl w:val="0"/>
          <w:numId w:val="22"/>
        </w:numPr>
      </w:pPr>
      <w:r>
        <w:t xml:space="preserve">Có khả năng đảm nhận tốt các vị trí tại các bộ phận chức năng kế toán, kiểm toán ở doanh nghiệp trong và ngoài nước, các Bộ, ngành và các cơ quan nh à nước; các đơn vị liên doanh liên kết; các ngân hàng hoặc các tổ chức khác; hành nghề kế toán tại các công ty tư vấn kế toán  kiểm toán chuyên nghiệp có yếu tố nước ngoài;  </w:t>
      </w:r>
    </w:p>
    <w:p w14:paraId="2DB4F005" w14:textId="0EF099C4" w:rsidR="008909B0" w:rsidRDefault="008909B0" w:rsidP="00ED1CAD">
      <w:pPr>
        <w:pStyle w:val="ListParagraph"/>
        <w:numPr>
          <w:ilvl w:val="0"/>
          <w:numId w:val="22"/>
        </w:numPr>
      </w:pPr>
      <w:r>
        <w:t xml:space="preserve">Đủ kỹ năng đảm đương hoặc tham gia các hoạt động hoạch định chính sách kế toán/kiểm toán, và tổ chức công tác kế toán tại các doanh nghiệp;  </w:t>
      </w:r>
    </w:p>
    <w:p w14:paraId="7B9FC89D" w14:textId="6781B7F7" w:rsidR="008909B0" w:rsidRDefault="008909B0" w:rsidP="00ED1CAD">
      <w:pPr>
        <w:pStyle w:val="ListParagraph"/>
        <w:numPr>
          <w:ilvl w:val="0"/>
          <w:numId w:val="22"/>
        </w:numPr>
      </w:pPr>
      <w:r>
        <w:t xml:space="preserve">Có khả năng tự tạo lập doanh nghiệp và tìm kiến cơ hội kinh doanh riêng cho bản thân;  </w:t>
      </w:r>
    </w:p>
    <w:p w14:paraId="2AFC5B8C" w14:textId="4D587880" w:rsidR="00363A28" w:rsidRDefault="008909B0" w:rsidP="00ED1CAD">
      <w:pPr>
        <w:pStyle w:val="ListParagraph"/>
        <w:numPr>
          <w:ilvl w:val="0"/>
          <w:numId w:val="22"/>
        </w:numPr>
      </w:pPr>
      <w:r>
        <w:t>Có khả năng trở thành cán bộ nghiên cứu, cán bộ giảng dạy về kế toán, kiểm toán tại các Viện, Trung tâm nghiên cứu, các cơ sở đào tạo.</w:t>
      </w:r>
    </w:p>
    <w:sectPr w:rsidR="00363A28" w:rsidSect="003239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E1AFA"/>
    <w:multiLevelType w:val="hybridMultilevel"/>
    <w:tmpl w:val="3D486E9C"/>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F560BB0"/>
    <w:multiLevelType w:val="hybridMultilevel"/>
    <w:tmpl w:val="1C10DDD4"/>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3322B8F"/>
    <w:multiLevelType w:val="hybridMultilevel"/>
    <w:tmpl w:val="8E700140"/>
    <w:lvl w:ilvl="0" w:tplc="A97A618C">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619041E"/>
    <w:multiLevelType w:val="hybridMultilevel"/>
    <w:tmpl w:val="4C387206"/>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E75156B"/>
    <w:multiLevelType w:val="hybridMultilevel"/>
    <w:tmpl w:val="C93EC5FA"/>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1B3773B"/>
    <w:multiLevelType w:val="hybridMultilevel"/>
    <w:tmpl w:val="BDF88132"/>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8492A47"/>
    <w:multiLevelType w:val="hybridMultilevel"/>
    <w:tmpl w:val="3F4CD43E"/>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E7322EE"/>
    <w:multiLevelType w:val="hybridMultilevel"/>
    <w:tmpl w:val="7EDC3726"/>
    <w:lvl w:ilvl="0" w:tplc="09D0B962">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9867C3D"/>
    <w:multiLevelType w:val="hybridMultilevel"/>
    <w:tmpl w:val="98C8BD92"/>
    <w:lvl w:ilvl="0" w:tplc="3498F6DA">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15508C7"/>
    <w:multiLevelType w:val="hybridMultilevel"/>
    <w:tmpl w:val="D18EE3FC"/>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7170710"/>
    <w:multiLevelType w:val="hybridMultilevel"/>
    <w:tmpl w:val="29C833E0"/>
    <w:lvl w:ilvl="0" w:tplc="ACCCAD7A">
      <w:numFmt w:val="bullet"/>
      <w:lvlText w:val="-"/>
      <w:lvlJc w:val="left"/>
      <w:pPr>
        <w:ind w:left="720" w:hanging="360"/>
      </w:pPr>
      <w:rPr>
        <w:rFonts w:ascii="Calibri" w:eastAsiaTheme="minorHAnsi"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4951765B"/>
    <w:multiLevelType w:val="hybridMultilevel"/>
    <w:tmpl w:val="987C6B5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4AAF5938"/>
    <w:multiLevelType w:val="hybridMultilevel"/>
    <w:tmpl w:val="8F6EF104"/>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BF40C88"/>
    <w:multiLevelType w:val="hybridMultilevel"/>
    <w:tmpl w:val="FCC25008"/>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C76204B"/>
    <w:multiLevelType w:val="hybridMultilevel"/>
    <w:tmpl w:val="DD98A504"/>
    <w:lvl w:ilvl="0" w:tplc="9A2C32F2">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5C76622C"/>
    <w:multiLevelType w:val="hybridMultilevel"/>
    <w:tmpl w:val="100AB838"/>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5F7F4AA2"/>
    <w:multiLevelType w:val="hybridMultilevel"/>
    <w:tmpl w:val="FBF826E6"/>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692B5641"/>
    <w:multiLevelType w:val="hybridMultilevel"/>
    <w:tmpl w:val="63AE6260"/>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6A9B067D"/>
    <w:multiLevelType w:val="multilevel"/>
    <w:tmpl w:val="9724B3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6D397C44"/>
    <w:multiLevelType w:val="hybridMultilevel"/>
    <w:tmpl w:val="2C949B80"/>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713A0B80"/>
    <w:multiLevelType w:val="hybridMultilevel"/>
    <w:tmpl w:val="9B8A79A4"/>
    <w:lvl w:ilvl="0" w:tplc="9912C3AE">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79174B9E"/>
    <w:multiLevelType w:val="hybridMultilevel"/>
    <w:tmpl w:val="1DFC9CF6"/>
    <w:lvl w:ilvl="0" w:tplc="67B61662">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7E542F28"/>
    <w:multiLevelType w:val="hybridMultilevel"/>
    <w:tmpl w:val="BBE60FF0"/>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173645793">
    <w:abstractNumId w:val="4"/>
  </w:num>
  <w:num w:numId="2" w16cid:durableId="1164661192">
    <w:abstractNumId w:val="3"/>
  </w:num>
  <w:num w:numId="3" w16cid:durableId="406346375">
    <w:abstractNumId w:val="11"/>
  </w:num>
  <w:num w:numId="4" w16cid:durableId="1189610772">
    <w:abstractNumId w:val="1"/>
  </w:num>
  <w:num w:numId="5" w16cid:durableId="48766017">
    <w:abstractNumId w:val="0"/>
  </w:num>
  <w:num w:numId="6" w16cid:durableId="1676766130">
    <w:abstractNumId w:val="19"/>
  </w:num>
  <w:num w:numId="7" w16cid:durableId="1041630598">
    <w:abstractNumId w:val="5"/>
  </w:num>
  <w:num w:numId="8" w16cid:durableId="1880050997">
    <w:abstractNumId w:val="6"/>
  </w:num>
  <w:num w:numId="9" w16cid:durableId="1989742187">
    <w:abstractNumId w:val="9"/>
  </w:num>
  <w:num w:numId="10" w16cid:durableId="989485329">
    <w:abstractNumId w:val="8"/>
  </w:num>
  <w:num w:numId="11" w16cid:durableId="146633834">
    <w:abstractNumId w:val="13"/>
  </w:num>
  <w:num w:numId="12" w16cid:durableId="89010106">
    <w:abstractNumId w:val="21"/>
  </w:num>
  <w:num w:numId="13" w16cid:durableId="1730766991">
    <w:abstractNumId w:val="22"/>
  </w:num>
  <w:num w:numId="14" w16cid:durableId="1925726627">
    <w:abstractNumId w:val="20"/>
  </w:num>
  <w:num w:numId="15" w16cid:durableId="1749034852">
    <w:abstractNumId w:val="17"/>
  </w:num>
  <w:num w:numId="16" w16cid:durableId="162815235">
    <w:abstractNumId w:val="7"/>
  </w:num>
  <w:num w:numId="17" w16cid:durableId="660036529">
    <w:abstractNumId w:val="16"/>
  </w:num>
  <w:num w:numId="18" w16cid:durableId="1180505617">
    <w:abstractNumId w:val="10"/>
  </w:num>
  <w:num w:numId="19" w16cid:durableId="79254789">
    <w:abstractNumId w:val="18"/>
  </w:num>
  <w:num w:numId="20" w16cid:durableId="1684479276">
    <w:abstractNumId w:val="12"/>
  </w:num>
  <w:num w:numId="21" w16cid:durableId="482623093">
    <w:abstractNumId w:val="14"/>
  </w:num>
  <w:num w:numId="22" w16cid:durableId="502089557">
    <w:abstractNumId w:val="15"/>
  </w:num>
  <w:num w:numId="23" w16cid:durableId="1007515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9B0"/>
    <w:rsid w:val="00107025"/>
    <w:rsid w:val="00323959"/>
    <w:rsid w:val="00363A28"/>
    <w:rsid w:val="00633E37"/>
    <w:rsid w:val="006D3DDD"/>
    <w:rsid w:val="007B2C4A"/>
    <w:rsid w:val="008909B0"/>
    <w:rsid w:val="00B27866"/>
    <w:rsid w:val="00BF626C"/>
    <w:rsid w:val="00C77415"/>
    <w:rsid w:val="00D74591"/>
    <w:rsid w:val="00ED1C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6C97B"/>
  <w15:chartTrackingRefBased/>
  <w15:docId w15:val="{B820313C-2D66-49F7-9176-EDF41AF8C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9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909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909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8909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8909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8909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9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9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9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9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909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909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8909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8909B0"/>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8909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9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9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9B0"/>
    <w:rPr>
      <w:rFonts w:eastAsiaTheme="majorEastAsia" w:cstheme="majorBidi"/>
      <w:color w:val="272727" w:themeColor="text1" w:themeTint="D8"/>
    </w:rPr>
  </w:style>
  <w:style w:type="paragraph" w:styleId="Title">
    <w:name w:val="Title"/>
    <w:basedOn w:val="Normal"/>
    <w:next w:val="Normal"/>
    <w:link w:val="TitleChar"/>
    <w:uiPriority w:val="10"/>
    <w:qFormat/>
    <w:rsid w:val="008909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9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09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09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09B0"/>
    <w:pPr>
      <w:spacing w:before="160"/>
      <w:jc w:val="center"/>
    </w:pPr>
    <w:rPr>
      <w:i/>
      <w:iCs/>
      <w:color w:val="404040" w:themeColor="text1" w:themeTint="BF"/>
    </w:rPr>
  </w:style>
  <w:style w:type="character" w:customStyle="1" w:styleId="QuoteChar">
    <w:name w:val="Quote Char"/>
    <w:basedOn w:val="DefaultParagraphFont"/>
    <w:link w:val="Quote"/>
    <w:uiPriority w:val="29"/>
    <w:rsid w:val="008909B0"/>
    <w:rPr>
      <w:i/>
      <w:iCs/>
      <w:color w:val="404040" w:themeColor="text1" w:themeTint="BF"/>
    </w:rPr>
  </w:style>
  <w:style w:type="paragraph" w:styleId="ListParagraph">
    <w:name w:val="List Paragraph"/>
    <w:basedOn w:val="Normal"/>
    <w:uiPriority w:val="34"/>
    <w:qFormat/>
    <w:rsid w:val="008909B0"/>
    <w:pPr>
      <w:ind w:left="720"/>
      <w:contextualSpacing/>
    </w:pPr>
  </w:style>
  <w:style w:type="character" w:styleId="IntenseEmphasis">
    <w:name w:val="Intense Emphasis"/>
    <w:basedOn w:val="DefaultParagraphFont"/>
    <w:uiPriority w:val="21"/>
    <w:qFormat/>
    <w:rsid w:val="008909B0"/>
    <w:rPr>
      <w:i/>
      <w:iCs/>
      <w:color w:val="2F5496" w:themeColor="accent1" w:themeShade="BF"/>
    </w:rPr>
  </w:style>
  <w:style w:type="paragraph" w:styleId="IntenseQuote">
    <w:name w:val="Intense Quote"/>
    <w:basedOn w:val="Normal"/>
    <w:next w:val="Normal"/>
    <w:link w:val="IntenseQuoteChar"/>
    <w:uiPriority w:val="30"/>
    <w:qFormat/>
    <w:rsid w:val="008909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09B0"/>
    <w:rPr>
      <w:i/>
      <w:iCs/>
      <w:color w:val="2F5496" w:themeColor="accent1" w:themeShade="BF"/>
    </w:rPr>
  </w:style>
  <w:style w:type="character" w:styleId="IntenseReference">
    <w:name w:val="Intense Reference"/>
    <w:basedOn w:val="DefaultParagraphFont"/>
    <w:uiPriority w:val="32"/>
    <w:qFormat/>
    <w:rsid w:val="008909B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875</Words>
  <Characters>4994</Characters>
  <Application>Microsoft Office Word</Application>
  <DocSecurity>0</DocSecurity>
  <Lines>41</Lines>
  <Paragraphs>11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Đình</dc:creator>
  <cp:keywords/>
  <dc:description/>
  <cp:lastModifiedBy>Dũng Đẹp Trai</cp:lastModifiedBy>
  <cp:revision>4</cp:revision>
  <dcterms:created xsi:type="dcterms:W3CDTF">2024-03-09T09:08:00Z</dcterms:created>
  <dcterms:modified xsi:type="dcterms:W3CDTF">2024-04-02T08:22:00Z</dcterms:modified>
</cp:coreProperties>
</file>