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131 tín chỉ (không bao gồm nội dung về Giáo dục thể chất và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78 tín chỉ</w:t>
      </w:r>
    </w:p>
    <w:p>
      <w:pPr>
        <w:pStyle w:val="ListParagraph"/>
      </w:pPr>
      <w:r>
        <w:t>Kiến thức cơ sở khối ngành và ngành: 46 tín chỉ</w:t>
      </w:r>
    </w:p>
    <w:p>
      <w:pPr>
        <w:pStyle w:val="ListParagraph"/>
      </w:pPr>
      <w:r>
        <w:t>Kiến thức ngành và chuyên ngành (trong đó các môn CAT-ACCA): 32 (42)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131 tín chỉ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