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ListParagraph"/>
      </w:pPr>
      <w:r>
        <w:t xml:space="preserve">Có khả năng học tập tiếp các chương trình cao học trong và ngoài nước;  </w:t>
      </w:r>
    </w:p>
    <w:p>
      <w:pPr>
        <w:pStyle w:val="ListParagraph"/>
      </w:pPr>
      <w:r>
        <w:t>Đáp ứng các điều kiện tiếp tục học để lấy chứng chỉ chuyên nghiệp ACCA (Anh Quốc), CPA (Úc).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