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Kế toán chuyên ngành Kế toán chuẩn quốc tế ACCA  </w:t>
      </w:r>
    </w:p>
    <w:p>
      <w:pPr>
        <w:pStyle w:val="Normal"/>
      </w:pPr>
      <w:r>
        <w:t xml:space="preserve">(Quyết định số 656/QĐ -HV ngày 19/08/2019 về việc ban hành Chương trình giáo dục đại học ngành Kế toán chuyên ngành Kế toán chuẩn quốc tế - trình độ đại học hệ chính quy ) </w:t>
      </w:r>
    </w:p>
    <w:p>
      <w:pPr>
        <w:pStyle w:val="Heading2"/>
      </w:pPr>
      <w:r>
        <w:t xml:space="preserve">2. Chuẩn đầu ra ngành Kế toán chuyên ngành Kế toán chuẩn quốc tế ACCA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pPr>
        <w:pStyle w:val="ListParagraph"/>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p>
      <w:pPr>
        <w:pStyle w:val="Heading3"/>
      </w:pPr>
      <w:r>
        <w:t xml:space="preserve">2.2 Kiến thức  </w:t>
      </w:r>
    </w:p>
    <w:p>
      <w:pPr>
        <w:pStyle w:val="ListParagraph"/>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pPr>
        <w:pStyle w:val="ListParagraph"/>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pPr>
        <w:pStyle w:val="ListParagraph"/>
      </w:pPr>
      <w:r>
        <w:t xml:space="preserve">Nắm vững kiến thức về kế toán tài chính chuẩn quốc tế theo chương trình CAT -ACCA (Anh Quốc)  </w:t>
      </w:r>
    </w:p>
    <w:p>
      <w:pPr>
        <w:pStyle w:val="ListParagraph"/>
      </w:pPr>
      <w:r>
        <w:t xml:space="preserve">Nắm vững kiến thức về kế toán quản trị, kiểm toán chuẩn quốc tế theo chương trình CAT -ACCA (Anh Quốc)   </w:t>
      </w:r>
    </w:p>
    <w:p>
      <w:pPr>
        <w:pStyle w:val="ListParagraph"/>
      </w:pPr>
      <w:r>
        <w:t xml:space="preserve">Nắm vững kiến thức về tài chính, phân tích tài chính, thuế chuẩn quốc tế theo chương trình CAT-ACCA (Anh Quốc) </w:t>
      </w:r>
    </w:p>
    <w:p>
      <w:pPr>
        <w:pStyle w:val="Heading3"/>
      </w:pPr>
      <w:r>
        <w:t xml:space="preserve">2.3 Kỹ năng  </w:t>
      </w:r>
    </w:p>
    <w:p>
      <w:pPr>
        <w:pStyle w:val="ListParagraph"/>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pPr>
        <w:pStyle w:val="ListParagraph"/>
      </w:pPr>
      <w:r>
        <w:t xml:space="preserve">Biết xây dựng các chính sách, chế độ kế toán, kiểm toán nội bộ trong các loại hình doanh nghiệp, các cơ quan tổ chức theo chuẩn kế toán quốc tế và Việt Nam;  </w:t>
      </w:r>
    </w:p>
    <w:p>
      <w:pPr>
        <w:pStyle w:val="ListParagraph"/>
      </w:pPr>
      <w:r>
        <w:t>Có kỹ năng sáng tạo, v ận dụng những kiến thức về kế toán quốc tế để hoàn thiện hoạt động kế toán của các doanh nghiệp Việt Nam và nước ngoài.</w:t>
      </w:r>
    </w:p>
    <w:p>
      <w:pPr>
        <w:pStyle w:val="Heading3"/>
      </w:pPr>
      <w:r>
        <w:t xml:space="preserve">2.4 Kỹ năng mềm  </w:t>
      </w:r>
    </w:p>
    <w:p>
      <w:pPr>
        <w:pStyle w:val="ListParagraph"/>
      </w:pPr>
      <w:r>
        <w:t xml:space="preserve">Kỹ năng giao tiếp: giao tiếp và thuyết trình tốt thể hiện qua việc trình bày rõ ràng, tự tin và thuyết phục các vấn đề liên quan đến chuyên môn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Đạt trình độ tiếng Anh 450 điểm TOEIC quốc tế;  </w:t>
      </w:r>
    </w:p>
    <w:p>
      <w:pPr>
        <w:pStyle w:val="ListParagraph"/>
      </w:pPr>
      <w:r>
        <w:t>Có khả năng sử dụng tiếng Anh tốt trong các hoạt động liên quan đến nghề nghiệp được đào tạo.</w:t>
      </w:r>
    </w:p>
    <w:p>
      <w:pPr>
        <w:pStyle w:val="Heading3"/>
      </w:pPr>
      <w:r>
        <w:t xml:space="preserve">2.6 Công nghệ thông tin  </w:t>
      </w:r>
    </w:p>
    <w:p>
      <w:pPr>
        <w:pStyle w:val="ListParagraph"/>
      </w:pPr>
      <w:r>
        <w:t>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sử dụng Internet trong các hoạt động liên quan đến nghề nghiệp được đào tạo.</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 xml:space="preserve">4. CHƯƠNG TRÌNH ĐÀO TẠO  </w:t>
      </w:r>
    </w:p>
    <w:p>
      <w:pPr>
        <w:pStyle w:val="Normal"/>
      </w:pPr>
      <w:r>
        <w:t xml:space="preserve">KHỐI LƯỢNG KIẾN THỨC TOÀN KHÓA: 131 tín chỉ (không bao gồm nội dung về Giáo dục thể chất và Giáo dục quốc phòng và Kỹ năng mềm)  </w:t>
      </w:r>
    </w:p>
    <w:p>
      <w:pPr>
        <w:pStyle w:val="Normal"/>
      </w:pPr>
      <w:r>
        <w:t xml:space="preserve">NỘI DUNG CHƯƠNG TRÌNH  </w:t>
      </w:r>
    </w:p>
    <w:p>
      <w:pPr>
        <w:pStyle w:val="ListParagraph"/>
      </w:pPr>
      <w:r>
        <w:t>Kiến thức giáo dục đại cương: 43 tín chỉ</w:t>
      </w:r>
    </w:p>
    <w:p>
      <w:pPr>
        <w:pStyle w:val="ListParagraph"/>
      </w:pPr>
      <w:r>
        <w:t>Kiến thức giáo dục chuyên nghiệp: 78 tín chỉ</w:t>
      </w:r>
    </w:p>
    <w:p>
      <w:pPr>
        <w:pStyle w:val="ListParagraph"/>
      </w:pPr>
      <w:r>
        <w:t>Kiến thức cơ sở khối ngành và ngành: 46 tín chỉ</w:t>
      </w:r>
    </w:p>
    <w:p>
      <w:pPr>
        <w:pStyle w:val="ListParagraph"/>
      </w:pPr>
      <w:r>
        <w:t>Kiến thức ngành và chuyên ngành (trong đó các môn CAT-ACCA): 32 (42)</w:t>
      </w:r>
    </w:p>
    <w:p>
      <w:pPr>
        <w:pStyle w:val="ListParagraph"/>
      </w:pPr>
      <w:r>
        <w:t>Thực tập và Tốt nghiệp: 10 tín chỉ</w:t>
      </w:r>
    </w:p>
    <w:p>
      <w:pPr>
        <w:pStyle w:val="ListParagraph"/>
      </w:pPr>
      <w:r>
        <w:t xml:space="preserve">Tổng cộng: 131 tín chỉ </w:t>
      </w:r>
    </w:p>
    <w:p>
      <w:pPr>
        <w:pStyle w:val="Heading2"/>
      </w:pPr>
      <w:r>
        <w:t xml:space="preserve">5. KHẢ NĂNG HỌC TẬP, NÂNG CAO TRÌNH ĐỘ SAU KHI RA TRƯỜNG  </w:t>
      </w:r>
    </w:p>
    <w:p>
      <w:pPr>
        <w:pStyle w:val="ListParagraph"/>
      </w:pPr>
      <w:r>
        <w:t xml:space="preserve">Có khả năng học tập tiếp các chương trình cao học trong và ngoài nước;  </w:t>
      </w:r>
    </w:p>
    <w:p>
      <w:pPr>
        <w:pStyle w:val="ListParagraph"/>
      </w:pPr>
      <w:r>
        <w:t>Đáp ứng các điều kiện tiếp tục học để lấy chứng chỉ chuyên nghiệp ACCA (Anh Quốc), CPA (Úc).</w:t>
      </w:r>
    </w:p>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Có khả năng đảm nhận tốt các vị trí tại các bộ phận chức năng kế toán, kiểm toán ở doanh nghiệp trong và ngoài nước, các Bộ, ngành và các cơ quan nh à nước; các đơn vị liên doanh liên kết; các ngân hàng hoặc các tổ chức khác; hành nghề kế toán tại các công ty tư vấn kế toán  kiểm toán chuyên nghiệp có yếu tố nước ngoài;  </w:t>
      </w:r>
    </w:p>
    <w:p>
      <w:pPr>
        <w:pStyle w:val="ListParagraph"/>
      </w:pPr>
      <w:r>
        <w:t xml:space="preserve">Đủ kỹ năng đảm đương hoặc tham gia các hoạt động hoạch định chính sách kế toán/kiểm toán, và tổ chức công tác kế toán tại các doanh nghiệp;  </w:t>
      </w:r>
    </w:p>
    <w:p>
      <w:pPr>
        <w:pStyle w:val="ListParagraph"/>
      </w:pPr>
      <w:r>
        <w:t xml:space="preserve">Có khả năng tự tạo lập doanh nghiệp và tìm kiến cơ hội kinh doanh riêng cho bản thân;  </w:t>
      </w:r>
    </w:p>
    <w:p>
      <w:pPr>
        <w:pStyle w:val="ListParagraph"/>
      </w:pPr>
      <w:r>
        <w:t>Có khả năng trở thành cán bộ nghiên cứu, cán bộ giảng dạy về kế toán, kiểm toán tại các Viện, Trung tâm nghiên cứu,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