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Kiến thức  </w:t>
      </w:r>
    </w:p>
    <w:p>
      <w:pPr>
        <w:pStyle w:val="ListParagraph"/>
      </w:pPr>
      <w:r>
        <w:t xml:space="preserve">PO1: Vận dụng được các kiến thức khoa học tự nhiên trong học tập, nghiên cứu và thực hiện các hoạt động nghề nghiệp;  </w:t>
      </w:r>
    </w:p>
    <w:p>
      <w:pPr>
        <w:pStyle w:val="ListParagraph"/>
      </w:pPr>
      <w:r>
        <w:t xml:space="preserve">PO2: Vận dụng được các kiến thức cơ sở của ngành kế toán trong hoạt động nghề nghiệp;  </w:t>
      </w:r>
    </w:p>
    <w:p>
      <w:pPr>
        <w:pStyle w:val="ListParagraph"/>
      </w:pPr>
      <w:r>
        <w:t xml:space="preserve">PO3: Vận dụng được các kiến thức chuyên ngành kế toán để thực thi các quy trình nghiệp vụ kế toán, thuế, kiểm toán;  </w:t>
      </w:r>
    </w:p>
    <w:p>
      <w:pPr>
        <w:pStyle w:val="ListParagraph"/>
      </w:pPr>
      <w:r>
        <w:t xml:space="preserve">PO4:  Vận dụng được các nguyên lý và chuẩn mực kế toán quốc tế (tương đương trình độ ACCA và CFA cấp độ căn bản)  trong hoạt động nghề nghiệp;  </w:t>
      </w:r>
    </w:p>
    <w:p>
      <w:pPr>
        <w:pStyle w:val="ListParagraph"/>
      </w:pPr>
      <w:r>
        <w:t xml:space="preserve">PO5: Vận dụng được kiến thức chuyên môn về tài chính để xử lý tốt các nghiệp vụ về tài chính, phân tích tài chính và phân tích hoạt động kinh doanh.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