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Mục tiêu chung  </w:t>
      </w:r>
    </w:p>
    <w:p>
      <w:pPr>
        <w:pStyle w:val="ListParagraph"/>
      </w:pPr>
      <w:r>
        <w:t xml:space="preserve">Chương trình đào tạo ngành Kỹ thuật Điều khiển và Tự động hoá trình độ đại học nhằm trang bị cho người học những kiến thức cơ bản để phát triển toàn diện; có phẩm chất chính trị, đạo đức; có sức khỏe đáp ứng yêu cầu bảo vệ tổ quốc và có kiến thức chuyên môn, năng lực t hực hành nghề nghiệp, có khả năng làm việc độc lập, sáng tạo để giải quyết những vấn đề thuộc chuyên ngành được đào tạo.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