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3. CÁC CHÍNH SÁCH, HOẠT ĐỘNG HỖ TRỢ HỌC TẬP, SINH HOẠT CHO NGƯỜI HỌC  </w:t>
      </w:r>
    </w:p>
    <w:p>
      <w:pPr>
        <w:pStyle w:val="ListParagraph"/>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pPr>
        <w:pStyle w:val="ListParagraph"/>
      </w:pPr>
      <w:r>
        <w:t xml:space="preserve">Bên cạnh các hoạt động nằm trong chương trình đào tạo, sinh viên còn được đào tạo các kỹ năng mềm như kỹ năng thuyết trình, kỹ năng làm việ c nhóm, kỹ năng tạo lập văn bản tiếng việt. Đặc biệt, sinh viên còn được tham gia các hoạt động nghiên cứu khoa học, các câu lạc bộ do Học viện tổ chức.  </w:t>
      </w:r>
    </w:p>
    <w:p>
      <w:pPr>
        <w:pStyle w:val="ListParagraph"/>
      </w:pPr>
      <w:r>
        <w:t xml:space="preserve">Chế độ, chính sách đối với sinh viên được thực hiện trên tinh thần công khai, công bằng và đúng quy định. Tổ chức xét khen thưởng, kỷ luật được tiến hành thường xuyên và đúng quy chế.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