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Khả năng lập luận tư duy và giải quyết vấn đề  </w:t>
      </w:r>
    </w:p>
    <w:p>
      <w:pPr>
        <w:pStyle w:val="Normal"/>
      </w:pPr>
      <w:r>
        <w:t xml:space="preserve"> Sinh viên ngành Điện tử viễn thông đạt được các yêu cầu sau đây  về kỹ năng tư duy, giải quyết vấn đề:   </w:t>
      </w:r>
    </w:p>
    <w:p>
      <w:pPr>
        <w:pStyle w:val="ListParagraph"/>
      </w:pPr>
      <w:r>
        <w:t xml:space="preserve">Có khả năng ph át hiện, tổng qu át hóa, phân tích và đ ánh gi á vấn đề kỹ thuật liên quan tới lĩnh vực chuyên môn ; </w:t>
      </w:r>
    </w:p>
    <w:p>
      <w:pPr>
        <w:pStyle w:val="ListParagraph"/>
      </w:pPr>
      <w:r>
        <w:t xml:space="preserve">Có kỹ năng lập luận và xử l ý thông tin, phân tích định lượng để giải quyết các bài toán chuyên môn cũng như đưa ra gi ải pháp và kiến nghị đối với vấn đề chuyên môn.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