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Khả năng nghiên cứu và khám phá kiến thức  </w:t>
      </w:r>
    </w:p>
    <w:p>
      <w:pPr>
        <w:pStyle w:val="Normal"/>
      </w:pPr>
      <w:r>
        <w:t xml:space="preserve"> Sinh viên được trang bị và rèn luyện k ỹ năng ph át hiện vấn đề, tìm kiếm và thu thập thông tin, kỹ năng triển khai thí nghiệm và tham gia vào các khảo sát thực tế.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